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64"/>
          <w:szCs w:val="64"/>
        </w:rPr>
        <w:t xml:space="preserve">RELEVANT</w:t>
      </w:r>
    </w:p>
    <w:p>
      <w:pPr>
        <w:spacing w:after="400"/>
        <w:jc w:val="center"/>
      </w:pPr>
      <w:r>
        <w:rPr>
          <w:rFonts w:ascii="Calibri" w:cs="Calibri" w:eastAsia="Calibri" w:hAnsi="Calibri"/>
          <w:color w:val="404040"/>
          <w:sz w:val="36"/>
          <w:szCs w:val="36"/>
        </w:rPr>
        <w:t xml:space="preserve">Penetration Testing Report</w:t>
      </w:r>
    </w:p>
    <w:p>
      <w:pPr>
        <w:jc w:val="center"/>
      </w:pPr>
      <w:r>
        <w:rPr>
          <w:rFonts w:ascii="Calibri" w:cs="Calibri" w:eastAsia="Calibri" w:hAnsi="Calibri"/>
          <w:i/>
          <w:iCs/>
          <w:color w:val="757575"/>
          <w:sz w:val="22"/>
          <w:szCs w:val="22"/>
        </w:rPr>
        <w:t xml:space="preserve">Authorized Lab Engagement — TryHackMe</w:t>
      </w:r>
    </w:p>
    <w:p>
      <w:pPr>
        <w:spacing w:after="60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Classification</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Authorized Lab Engagement (TryHackMe)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Target</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Relevant (Windows Server 2016)</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Assessor</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Junior Penetration Tester</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Engagement Type</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Black-box, post-foothold escalation</w:t>
            </w:r>
          </w:p>
        </w:tc>
      </w:tr>
    </w:tbl>
    <w:p>
      <w:r>
        <w:br w:type="page"/>
      </w:r>
    </w:p>
    <w:p>
      <w:pPr>
        <w:pStyle w:val="Heading1"/>
        <w:pBdr>
          <w:bottom w:val="single" w:color="1F4E79" w:sz="8" w:space="4"/>
        </w:pBdr>
        <w:spacing w:after="200" w:before="400"/>
      </w:pPr>
      <w:r>
        <w:rPr>
          <w:rFonts w:ascii="Calibri" w:cs="Calibri" w:eastAsia="Calibri" w:hAnsi="Calibri"/>
          <w:b/>
          <w:bCs/>
          <w:color w:val="1F4E79"/>
          <w:sz w:val="32"/>
          <w:szCs w:val="32"/>
        </w:rPr>
        <w:t xml:space="preserve">Executive Summary</w:t>
      </w:r>
    </w:p>
    <w:p>
      <w:pPr>
        <w:spacing w:after="160" w:line="276"/>
      </w:pPr>
      <w:r>
        <w:rPr>
          <w:rFonts w:ascii="Calibri" w:cs="Calibri" w:eastAsia="Calibri" w:hAnsi="Calibri"/>
          <w:sz w:val="22"/>
          <w:szCs w:val="22"/>
        </w:rPr>
        <w:t xml:space="preserve">This engagement targeted the TryHackMe machine Relevant, a Windows Server 2016 host exposing web, SMB, RPC, and RDP services. The assessment resulted in full compromise of the system, escalating from unauthenticated network access to NT AUTHORITY\SYSTEM.</w:t>
      </w:r>
    </w:p>
    <w:p>
      <w:pPr>
        <w:spacing w:after="160" w:line="276"/>
      </w:pPr>
      <w:r>
        <w:rPr>
          <w:rFonts w:ascii="Calibri" w:cs="Calibri" w:eastAsia="Calibri" w:hAnsi="Calibri"/>
          <w:sz w:val="22"/>
          <w:szCs w:val="22"/>
        </w:rPr>
        <w:t xml:space="preserve">The compromise was not the result of a single critical CVE, but rather a chain of misconfigurations that, combined, produced a complete remote-code-execution and privilege-escalation path:</w:t>
      </w:r>
    </w:p>
    <w:p>
      <w:pPr>
        <w:pStyle w:val="ListParagraph"/>
        <w:numPr>
          <w:ilvl w:val="0"/>
          <w:numId w:val="1"/>
        </w:numPr>
        <w:spacing w:after="80"/>
      </w:pPr>
      <w:r>
        <w:rPr>
          <w:rFonts w:ascii="Calibri" w:cs="Calibri" w:eastAsia="Calibri" w:hAnsi="Calibri"/>
          <w:sz w:val="22"/>
          <w:szCs w:val="22"/>
        </w:rPr>
        <w:t xml:space="preserve">1. An SMB share was reachable without meaningful access restrictions.</w:t>
      </w:r>
    </w:p>
    <w:p>
      <w:pPr>
        <w:pStyle w:val="ListParagraph"/>
        <w:numPr>
          <w:ilvl w:val="0"/>
          <w:numId w:val="1"/>
        </w:numPr>
        <w:spacing w:after="80"/>
      </w:pPr>
      <w:r>
        <w:rPr>
          <w:rFonts w:ascii="Calibri" w:cs="Calibri" w:eastAsia="Calibri" w:hAnsi="Calibri"/>
          <w:sz w:val="22"/>
          <w:szCs w:val="22"/>
        </w:rPr>
        <w:t xml:space="preserve">2. That share contained a file with Base64-"encoded" (not encrypted) credentials.</w:t>
      </w:r>
    </w:p>
    <w:p>
      <w:pPr>
        <w:pStyle w:val="ListParagraph"/>
        <w:numPr>
          <w:ilvl w:val="0"/>
          <w:numId w:val="1"/>
        </w:numPr>
        <w:spacing w:after="80"/>
      </w:pPr>
      <w:r>
        <w:rPr>
          <w:rFonts w:ascii="Calibri" w:cs="Calibri" w:eastAsia="Calibri" w:hAnsi="Calibri"/>
          <w:sz w:val="22"/>
          <w:szCs w:val="22"/>
        </w:rPr>
        <w:t xml:space="preserve">3. The same share was writable.</w:t>
      </w:r>
    </w:p>
    <w:p>
      <w:pPr>
        <w:pStyle w:val="ListParagraph"/>
        <w:numPr>
          <w:ilvl w:val="0"/>
          <w:numId w:val="1"/>
        </w:numPr>
        <w:spacing w:after="80"/>
      </w:pPr>
      <w:r>
        <w:rPr>
          <w:rFonts w:ascii="Calibri" w:cs="Calibri" w:eastAsia="Calibri" w:hAnsi="Calibri"/>
          <w:sz w:val="22"/>
          <w:szCs w:val="22"/>
        </w:rPr>
        <w:t xml:space="preserve">4. The writable share was, critically, mapped as a web-accessible directory on a secondary IIS instance.</w:t>
      </w:r>
    </w:p>
    <w:p>
      <w:pPr>
        <w:pStyle w:val="ListParagraph"/>
        <w:numPr>
          <w:ilvl w:val="0"/>
          <w:numId w:val="1"/>
        </w:numPr>
        <w:spacing w:after="80"/>
      </w:pPr>
      <w:r>
        <w:rPr>
          <w:rFonts w:ascii="Calibri" w:cs="Calibri" w:eastAsia="Calibri" w:hAnsi="Calibri"/>
          <w:sz w:val="22"/>
          <w:szCs w:val="22"/>
        </w:rPr>
        <w:t xml:space="preserve">5. The IIS application pool permitted execution of uploaded .aspx content.</w:t>
      </w:r>
    </w:p>
    <w:p>
      <w:pPr>
        <w:pStyle w:val="ListParagraph"/>
        <w:numPr>
          <w:ilvl w:val="0"/>
          <w:numId w:val="1"/>
        </w:numPr>
        <w:spacing w:after="80"/>
      </w:pPr>
      <w:r>
        <w:rPr>
          <w:rFonts w:ascii="Calibri" w:cs="Calibri" w:eastAsia="Calibri" w:hAnsi="Calibri"/>
          <w:sz w:val="22"/>
          <w:szCs w:val="22"/>
        </w:rPr>
        <w:t xml:space="preserve">6. The resulting web shell ran with SeImpersonatePrivilege enabled.</w:t>
      </w:r>
    </w:p>
    <w:p>
      <w:pPr>
        <w:pStyle w:val="ListParagraph"/>
        <w:numPr>
          <w:ilvl w:val="0"/>
          <w:numId w:val="1"/>
        </w:numPr>
        <w:spacing w:after="80"/>
      </w:pPr>
      <w:r>
        <w:rPr>
          <w:rFonts w:ascii="Calibri" w:cs="Calibri" w:eastAsia="Calibri" w:hAnsi="Calibri"/>
          <w:sz w:val="22"/>
          <w:szCs w:val="22"/>
        </w:rPr>
        <w:t xml:space="preserve">7. This privilege was abused via a PrintSpoofer-style token impersonation attack to obtain a SYSTEM shell.</w:t>
      </w:r>
    </w:p>
    <w:p>
      <w:pPr>
        <w:spacing w:after="160" w:line="276"/>
      </w:pPr>
      <w:r>
        <w:rPr>
          <w:rFonts w:ascii="Calibri" w:cs="Calibri" w:eastAsia="Calibri" w:hAnsi="Calibri"/>
          <w:sz w:val="22"/>
          <w:szCs w:val="22"/>
        </w:rPr>
        <w:t xml:space="preserve">Each misconfiguration in isolation carries limited risk. Together, they formed a complete attack chain from anonymous network visibility to full administrative compromise of the host.</w:t>
      </w:r>
    </w:p>
    <w:p>
      <w:pPr>
        <w:pStyle w:val="Heading1"/>
        <w:pBdr>
          <w:bottom w:val="single" w:color="1F4E79" w:sz="8" w:space="4"/>
        </w:pBdr>
        <w:spacing w:after="200" w:before="400"/>
      </w:pPr>
      <w:r>
        <w:rPr>
          <w:rFonts w:ascii="Calibri" w:cs="Calibri" w:eastAsia="Calibri" w:hAnsi="Calibri"/>
          <w:b/>
          <w:bCs/>
          <w:color w:val="1F4E79"/>
          <w:sz w:val="32"/>
          <w:szCs w:val="32"/>
        </w:rPr>
        <w:t xml:space="preserve">Scope and Target Information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Platform</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TryHackMe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Room</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Relevant</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Target OS</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Windows Server 2016 Standard Evaluation (Build 14393)</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Computer Name</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RELEVANT</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Workgroup</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WORKGROUP</w:t>
            </w:r>
          </w:p>
        </w:tc>
      </w:tr>
    </w:tbl>
    <w:p>
      <w:pPr>
        <w:pStyle w:val="Heading1"/>
        <w:pBdr>
          <w:bottom w:val="single" w:color="1F4E79" w:sz="8" w:space="4"/>
        </w:pBdr>
        <w:spacing w:after="200" w:before="400"/>
      </w:pPr>
      <w:r>
        <w:rPr>
          <w:rFonts w:ascii="Calibri" w:cs="Calibri" w:eastAsia="Calibri" w:hAnsi="Calibri"/>
          <w:b/>
          <w:bCs/>
          <w:color w:val="1F4E79"/>
          <w:sz w:val="32"/>
          <w:szCs w:val="32"/>
        </w:rPr>
        <w:t xml:space="preserve">Methodology</w:t>
      </w:r>
    </w:p>
    <w:p>
      <w:pPr>
        <w:spacing w:after="160" w:line="276"/>
      </w:pPr>
      <w:r>
        <w:rPr>
          <w:rFonts w:ascii="Calibri" w:cs="Calibri" w:eastAsia="Calibri" w:hAnsi="Calibri"/>
          <w:sz w:val="22"/>
          <w:szCs w:val="22"/>
        </w:rPr>
        <w:t xml:space="preserve">The assessment followed a standard offensive security methodology:</w:t>
      </w:r>
    </w:p>
    <w:p>
      <w:pPr>
        <w:pStyle w:val="ListParagraph"/>
        <w:numPr>
          <w:ilvl w:val="0"/>
          <w:numId w:val="1"/>
        </w:numPr>
        <w:spacing w:after="80"/>
      </w:pPr>
      <w:r>
        <w:rPr>
          <w:rFonts w:ascii="Calibri" w:cs="Calibri" w:eastAsia="Calibri" w:hAnsi="Calibri"/>
          <w:sz w:val="22"/>
          <w:szCs w:val="22"/>
        </w:rPr>
        <w:t xml:space="preserve">1. Reconnaissance</w:t>
      </w:r>
    </w:p>
    <w:p>
      <w:pPr>
        <w:pStyle w:val="ListParagraph"/>
        <w:numPr>
          <w:ilvl w:val="0"/>
          <w:numId w:val="1"/>
        </w:numPr>
        <w:spacing w:after="80"/>
      </w:pPr>
      <w:r>
        <w:rPr>
          <w:rFonts w:ascii="Calibri" w:cs="Calibri" w:eastAsia="Calibri" w:hAnsi="Calibri"/>
          <w:sz w:val="22"/>
          <w:szCs w:val="22"/>
        </w:rPr>
        <w:t xml:space="preserve">2. Enumeration</w:t>
      </w:r>
    </w:p>
    <w:p>
      <w:pPr>
        <w:pStyle w:val="ListParagraph"/>
        <w:numPr>
          <w:ilvl w:val="0"/>
          <w:numId w:val="1"/>
        </w:numPr>
        <w:spacing w:after="80"/>
      </w:pPr>
      <w:r>
        <w:rPr>
          <w:rFonts w:ascii="Calibri" w:cs="Calibri" w:eastAsia="Calibri" w:hAnsi="Calibri"/>
          <w:sz w:val="22"/>
          <w:szCs w:val="22"/>
        </w:rPr>
        <w:t xml:space="preserve">3. Initial Access / Exploitation</w:t>
      </w:r>
    </w:p>
    <w:p>
      <w:pPr>
        <w:pStyle w:val="ListParagraph"/>
        <w:numPr>
          <w:ilvl w:val="0"/>
          <w:numId w:val="1"/>
        </w:numPr>
        <w:spacing w:after="80"/>
      </w:pPr>
      <w:r>
        <w:rPr>
          <w:rFonts w:ascii="Calibri" w:cs="Calibri" w:eastAsia="Calibri" w:hAnsi="Calibri"/>
          <w:sz w:val="22"/>
          <w:szCs w:val="22"/>
        </w:rPr>
        <w:t xml:space="preserve">4. Post-Exploitation</w:t>
      </w:r>
    </w:p>
    <w:p>
      <w:pPr>
        <w:pStyle w:val="ListParagraph"/>
        <w:numPr>
          <w:ilvl w:val="0"/>
          <w:numId w:val="1"/>
        </w:numPr>
        <w:spacing w:after="80"/>
      </w:pPr>
      <w:r>
        <w:rPr>
          <w:rFonts w:ascii="Calibri" w:cs="Calibri" w:eastAsia="Calibri" w:hAnsi="Calibri"/>
          <w:sz w:val="22"/>
          <w:szCs w:val="22"/>
        </w:rPr>
        <w:t xml:space="preserve">5. Privilege Escalation</w:t>
      </w:r>
    </w:p>
    <w:p>
      <w:pPr>
        <w:pStyle w:val="ListParagraph"/>
        <w:numPr>
          <w:ilvl w:val="0"/>
          <w:numId w:val="1"/>
        </w:numPr>
        <w:spacing w:after="80"/>
      </w:pPr>
      <w:r>
        <w:rPr>
          <w:rFonts w:ascii="Calibri" w:cs="Calibri" w:eastAsia="Calibri" w:hAnsi="Calibri"/>
          <w:sz w:val="22"/>
          <w:szCs w:val="22"/>
        </w:rPr>
        <w:t xml:space="preserve">6. Flag Capture</w:t>
      </w:r>
    </w:p>
    <w:p>
      <w:pPr>
        <w:pStyle w:val="ListParagraph"/>
        <w:numPr>
          <w:ilvl w:val="0"/>
          <w:numId w:val="1"/>
        </w:numPr>
        <w:spacing w:after="80"/>
      </w:pPr>
      <w:r>
        <w:rPr>
          <w:rFonts w:ascii="Calibri" w:cs="Calibri" w:eastAsia="Calibri" w:hAnsi="Calibri"/>
          <w:sz w:val="22"/>
          <w:szCs w:val="22"/>
        </w:rPr>
        <w:t xml:space="preserve">7. Vulnerability Assessment</w:t>
      </w:r>
    </w:p>
    <w:p>
      <w:pPr>
        <w:pStyle w:val="ListParagraph"/>
        <w:numPr>
          <w:ilvl w:val="0"/>
          <w:numId w:val="1"/>
        </w:numPr>
        <w:spacing w:after="80"/>
      </w:pPr>
      <w:r>
        <w:rPr>
          <w:rFonts w:ascii="Calibri" w:cs="Calibri" w:eastAsia="Calibri" w:hAnsi="Calibri"/>
          <w:sz w:val="22"/>
          <w:szCs w:val="22"/>
        </w:rPr>
        <w:t xml:space="preserve">8. Remediation Recommendations</w:t>
      </w:r>
    </w:p>
    <w:p>
      <w:pPr>
        <w:pStyle w:val="Heading1"/>
        <w:pBdr>
          <w:bottom w:val="single" w:color="1F4E79" w:sz="8" w:space="4"/>
        </w:pBdr>
        <w:spacing w:after="200" w:before="400"/>
      </w:pPr>
      <w:r>
        <w:rPr>
          <w:rFonts w:ascii="Calibri" w:cs="Calibri" w:eastAsia="Calibri" w:hAnsi="Calibri"/>
          <w:b/>
          <w:bCs/>
          <w:color w:val="1F4E79"/>
          <w:sz w:val="32"/>
          <w:szCs w:val="32"/>
        </w:rPr>
        <w:t xml:space="preserve">Attack Surface Overview</w:t>
      </w:r>
    </w:p>
    <w:p>
      <w:pPr>
        <w:spacing w:after="160" w:line="276"/>
      </w:pPr>
      <w:r>
        <w:rPr>
          <w:rFonts w:ascii="Calibri" w:cs="Calibri" w:eastAsia="Calibri" w:hAnsi="Calibri"/>
          <w:sz w:val="22"/>
          <w:szCs w:val="22"/>
        </w:rPr>
        <w:t xml:space="preserve">An initial full-port TCP scan followed by a targeted service/version scan identified the following exposed services: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Port</w:t>
            </w:r>
          </w:p>
        </w:tc>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Service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80</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Microsoft IIS httpd 10.0 — primary web server</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135</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MSRPC — standard Windows RPC endpoint mapper</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139</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NetBIOS-SSN — SMB over NetBIOS</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445</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Microsoft-DS (SMB) — primary attack surface</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3389</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MS-WBT-Server (RDP) — Terminal Services</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49663</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Microsoft IIS httpd 10.0 — secondary IIS instance on a high port</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49666 / 49667</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MSRPC — dynamic RPC endpoints</w:t>
            </w:r>
          </w:p>
        </w:tc>
      </w:tr>
    </w:tbl>
    <w:p>
      <w:pPr>
        <w:spacing w:after="120"/>
      </w:pPr>
    </w:p>
    <w:p>
      <w:pPr>
        <w:pStyle w:val="Heading3"/>
        <w:spacing w:after="120" w:before="240"/>
      </w:pPr>
      <w:r>
        <w:rPr>
          <w:rFonts w:ascii="Calibri" w:cs="Calibri" w:eastAsia="Calibri" w:hAnsi="Calibri"/>
          <w:b/>
          <w:bCs/>
          <w:color w:val="2E75B6"/>
          <w:sz w:val="23"/>
          <w:szCs w:val="23"/>
        </w:rPr>
        <w:t xml:space="preserve">Why each service mattered</w:t>
      </w:r>
    </w:p>
    <w:p>
      <w:pPr>
        <w:pStyle w:val="ListParagraph"/>
        <w:numPr>
          <w:ilvl w:val="0"/>
          <w:numId w:val="1"/>
        </w:numPr>
        <w:spacing w:after="80"/>
      </w:pPr>
      <w:r>
        <w:rPr>
          <w:rFonts w:ascii="Calibri" w:cs="Calibri" w:eastAsia="Calibri" w:hAnsi="Calibri"/>
          <w:sz w:val="22"/>
          <w:szCs w:val="22"/>
        </w:rPr>
        <w:t xml:space="preserve">Port 80/443 (IIS): Any exposed web application is a candidate for content discovery, file upload flaws, and remote code execution — especially on ASP.NET stacks, which support server-side script execution (.aspx) if the app pool allows it.</w:t>
      </w:r>
    </w:p>
    <w:p>
      <w:pPr>
        <w:pStyle w:val="ListParagraph"/>
        <w:numPr>
          <w:ilvl w:val="0"/>
          <w:numId w:val="1"/>
        </w:numPr>
        <w:spacing w:after="80"/>
      </w:pPr>
      <w:r>
        <w:rPr>
          <w:rFonts w:ascii="Calibri" w:cs="Calibri" w:eastAsia="Calibri" w:hAnsi="Calibri"/>
          <w:sz w:val="22"/>
          <w:szCs w:val="22"/>
        </w:rPr>
        <w:t xml:space="preserve">Port 445 (SMB): SMB is one of the richest sources of information disclosure on Windows hosts — share enumeration frequently reveals sensitive files, and misconfigured share permissions can allow read/write access without valid domain credentials.</w:t>
      </w:r>
    </w:p>
    <w:p>
      <w:pPr>
        <w:pStyle w:val="ListParagraph"/>
        <w:numPr>
          <w:ilvl w:val="0"/>
          <w:numId w:val="1"/>
        </w:numPr>
        <w:spacing w:after="80"/>
      </w:pPr>
      <w:r>
        <w:rPr>
          <w:rFonts w:ascii="Calibri" w:cs="Calibri" w:eastAsia="Calibri" w:hAnsi="Calibri"/>
          <w:sz w:val="22"/>
          <w:szCs w:val="22"/>
        </w:rPr>
        <w:t xml:space="preserve">Port 3389 (RDP): A valid credential-based entry point once credentials are recovered, though it was not the path used in this engagement.</w:t>
      </w:r>
    </w:p>
    <w:p>
      <w:pPr>
        <w:pStyle w:val="ListParagraph"/>
        <w:numPr>
          <w:ilvl w:val="0"/>
          <w:numId w:val="1"/>
        </w:numPr>
        <w:spacing w:after="80"/>
      </w:pPr>
      <w:r>
        <w:rPr>
          <w:rFonts w:ascii="Calibri" w:cs="Calibri" w:eastAsia="Calibri" w:hAnsi="Calibri"/>
          <w:sz w:val="22"/>
          <w:szCs w:val="22"/>
        </w:rPr>
        <w:t xml:space="preserve">Port 49663 (secondary IIS): High-numbered IIS instances are commonly overlooked during triage but can expose separate virtual directories or application pools with different (often weaker) configurations than the primary site on port 80 — this proved to be the key pivot point in this assessment.</w:t>
      </w:r>
    </w:p>
    <w:p>
      <w:pPr>
        <w:spacing w:after="160" w:line="276"/>
      </w:pPr>
      <w:r>
        <w:rPr>
          <w:rFonts w:ascii="Calibri" w:cs="Calibri" w:eastAsia="Calibri" w:hAnsi="Calibri"/>
          <w:sz w:val="22"/>
          <w:szCs w:val="22"/>
        </w:rPr>
        <w:t xml:space="preserve">This is why SMB enumeration became the primary attack path: it was the only service offering unauthenticated, information-rich interaction, and it turned out to have a direct relationship with the secondary web server.</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1 — Reconnaissance</w:t>
      </w:r>
    </w:p>
    <w:p>
      <w:pPr>
        <w:spacing w:after="160" w:line="276"/>
      </w:pPr>
      <w:r>
        <w:rPr>
          <w:rFonts w:ascii="Calibri" w:cs="Calibri" w:eastAsia="Calibri" w:hAnsi="Calibri"/>
          <w:sz w:val="22"/>
          <w:szCs w:val="22"/>
        </w:rPr>
        <w:t xml:space="preserve">Nmap was used to perform full port discovery followed by service/version/OS fingerprinting against the target. This established the attack surface described above and confirmed the target as a Windows Server 2016 host, which immediately narrowed the realistic privilege escalation techniques to Windows-specific token/privilege abuse (as opposed to Linux kernel exploits, SUID binaries, etc.).</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2 — SMB Enumeration</w:t>
      </w:r>
    </w:p>
    <w:p>
      <w:pPr>
        <w:spacing w:after="160" w:line="276"/>
      </w:pPr>
      <w:r>
        <w:rPr>
          <w:rFonts w:ascii="Calibri" w:cs="Calibri" w:eastAsia="Calibri" w:hAnsi="Calibri"/>
          <w:sz w:val="22"/>
          <w:szCs w:val="22"/>
        </w:rPr>
        <w:t xml:space="preserve">Since SMB was exposed and no credentials were yet available, the share list was enumerated anonymously: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smbclient -L //&lt;target&gt;/</w:t>
            </w:r>
          </w:p>
        </w:tc>
      </w:tr>
    </w:tbl>
    <w:p>
      <w:pPr>
        <w:spacing w:after="160" w:line="276"/>
      </w:pPr>
      <w:r>
        <w:rPr>
          <w:rFonts w:ascii="Calibri" w:cs="Calibri" w:eastAsia="Calibri" w:hAnsi="Calibri"/>
          <w:sz w:val="22"/>
          <w:szCs w:val="22"/>
        </w:rPr>
        <w:t xml:space="preserve">This returned the standard administrative shares (ADMIN$, C$, IPC$) alongside a non-default share: nt4wrksv. Non-default shares are always high-priority enumeration targets, since they represent an intentional (and often insufficiently secured) addition to the system by an administrator or application.</w:t>
      </w:r>
    </w:p>
    <w:p>
      <w:pPr>
        <w:spacing w:after="160" w:line="276"/>
      </w:pPr>
      <w:r>
        <w:rPr>
          <w:rFonts w:ascii="Calibri" w:cs="Calibri" w:eastAsia="Calibri" w:hAnsi="Calibri"/>
          <w:sz w:val="22"/>
          <w:szCs w:val="22"/>
        </w:rPr>
        <w:t xml:space="preserve">Connecting to the share without credentials succeeded: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smbclient //&lt;target&gt;/nt4wrksv/</w:t>
            </w:r>
          </w:p>
        </w:tc>
      </w:tr>
    </w:tbl>
    <w:p>
      <w:pPr>
        <w:spacing w:after="160" w:line="276"/>
      </w:pPr>
      <w:r>
        <w:rPr>
          <w:rFonts w:ascii="Calibri" w:cs="Calibri" w:eastAsia="Calibri" w:hAnsi="Calibri"/>
          <w:sz w:val="22"/>
          <w:szCs w:val="22"/>
        </w:rPr>
        <w:t xml:space="preserve">This confirmed the share allowed anonymous/guest-level access, which is a meaningful finding on its own — SMB shares should not normally be reachable without authentication in a production environment.</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3 — Credential Discovery</w:t>
      </w:r>
    </w:p>
    <w:p>
      <w:pPr>
        <w:spacing w:after="160" w:line="276"/>
      </w:pPr>
      <w:r>
        <w:rPr>
          <w:rFonts w:ascii="Calibri" w:cs="Calibri" w:eastAsia="Calibri" w:hAnsi="Calibri"/>
          <w:sz w:val="22"/>
          <w:szCs w:val="22"/>
        </w:rPr>
        <w:t xml:space="preserve">Directory listing of nt4wrksv revealed a single file: passwords.txt. The file was downloaded and inspected: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20"/>
                <w:szCs w:val="20"/>
              </w:rPr>
              <w:t xml:space="preserve">[User Passwords - Encoded]</w:t>
            </w:r>
          </w:p>
          <w:p>
            <w:pPr>
              <w:spacing w:after="20"/>
            </w:pPr>
            <w:r>
              <w:rPr>
                <w:rFonts w:ascii="Consolas" w:cs="Consolas" w:eastAsia="Consolas" w:hAnsi="Consolas"/>
                <w:color w:val="1A1A1A"/>
                <w:sz w:val="20"/>
                <w:szCs w:val="20"/>
              </w:rPr>
              <w:t xml:space="preserve">Qm9iIC0gIVBAJCRXMHJEITEyMw==</w:t>
            </w:r>
          </w:p>
          <w:p>
            <w:pPr>
              <w:spacing w:after="0"/>
            </w:pPr>
            <w:r>
              <w:rPr>
                <w:rFonts w:ascii="Consolas" w:cs="Consolas" w:eastAsia="Consolas" w:hAnsi="Consolas"/>
                <w:color w:val="1A1A1A"/>
                <w:sz w:val="20"/>
                <w:szCs w:val="20"/>
              </w:rPr>
              <w:t xml:space="preserve">QmlsbCAtIEp1dzRubmFNNG40MjA2OTY5NjkhJCQk</w:t>
            </w:r>
          </w:p>
        </w:tc>
      </w:tr>
    </w:tbl>
    <w:p>
      <w:pPr>
        <w:spacing w:after="160" w:line="276"/>
      </w:pPr>
      <w:r>
        <w:rPr>
          <w:rFonts w:ascii="Calibri" w:cs="Calibri" w:eastAsia="Calibri" w:hAnsi="Calibri"/>
          <w:sz w:val="22"/>
          <w:szCs w:val="22"/>
        </w:rPr>
        <w:t xml:space="preserve">The == padding and character set are strong visual indicators of Base64 encoding. Both strings were decoded: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echo '&lt;string&gt;' | base64 -d</w:t>
            </w:r>
          </w:p>
        </w:tc>
      </w:tr>
    </w:tbl>
    <w:p>
      <w:pPr>
        <w:spacing w:after="8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Username</w:t>
            </w:r>
          </w:p>
        </w:tc>
        <w:tc>
          <w:tcPr>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Password</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Bob</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!P@$$W0rD!123</w:t>
            </w:r>
          </w:p>
        </w:tc>
      </w:tr>
      <w:tr>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Bill</w:t>
            </w:r>
          </w:p>
        </w:tc>
        <w:tc>
          <w:tcPr>
            <w:tcMar>
              <w:top w:type="dxa" w:w="100"/>
              <w:left w:type="dxa" w:w="120"/>
              <w:bottom w:type="dxa" w:w="100"/>
              <w:right w:type="dxa" w:w="120"/>
            </w:tcMar>
          </w:tcPr>
          <w:p>
            <w:r>
              <w:rPr>
                <w:rFonts w:ascii="Calibri" w:cs="Calibri" w:eastAsia="Calibri" w:hAnsi="Calibri"/>
                <w:b w:val="false"/>
                <w:bCs w:val="false"/>
                <w:color w:val="000000"/>
                <w:sz w:val="20"/>
                <w:szCs w:val="20"/>
              </w:rPr>
              <w:t xml:space="preserve">Juw4nnaM4n420696969!$$$</w:t>
            </w:r>
          </w:p>
        </w:tc>
      </w:tr>
    </w:tbl>
    <w:p>
      <w:pPr>
        <w:spacing w:after="120"/>
      </w:pPr>
    </w:p>
    <w:p>
      <w:pPr>
        <w:spacing w:after="160" w:line="276"/>
      </w:pPr>
      <w:r>
        <w:rPr>
          <w:rFonts w:ascii="Calibri" w:cs="Calibri" w:eastAsia="Calibri" w:hAnsi="Calibri"/>
          <w:i/>
          <w:iCs/>
          <w:sz w:val="22"/>
          <w:szCs w:val="22"/>
        </w:rPr>
        <w:t xml:space="preserve">Why this matters: Base64 is an encoding scheme, not encryption — it provides zero confidentiality and is trivially reversible by anyone who obtains the data. Storing credentials this way on an accessible share is functionally equivalent to storing them in plaintext.</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4 — Writable Share Discovery</w:t>
      </w:r>
    </w:p>
    <w:p>
      <w:pPr>
        <w:spacing w:after="160" w:line="276"/>
      </w:pPr>
      <w:r>
        <w:rPr>
          <w:rFonts w:ascii="Calibri" w:cs="Calibri" w:eastAsia="Calibri" w:hAnsi="Calibri"/>
          <w:sz w:val="22"/>
          <w:szCs w:val="22"/>
        </w:rPr>
        <w:t xml:space="preserve">Beyond read access, the nt4wrksv share was tested for write permissions by uploading benign test files (test.txt, later test.aspx) using the SMB put command. Both uploads succeeded, and allinfo was used to confirm the files existed on the share with correct metadata.</w:t>
      </w:r>
    </w:p>
    <w:p>
      <w:pPr>
        <w:spacing w:after="160" w:line="276"/>
      </w:pPr>
      <w:r>
        <w:rPr>
          <w:rFonts w:ascii="Calibri" w:cs="Calibri" w:eastAsia="Calibri" w:hAnsi="Calibri"/>
          <w:i/>
          <w:iCs/>
          <w:sz w:val="22"/>
          <w:szCs w:val="22"/>
        </w:rPr>
        <w:t xml:space="preserve">Why this was critical: Read-only exposure of sensitive files is bad; a writable anonymous share is far worse, because it converts an information-disclosure issue into a potential code-execution primitive — provided the attacker can find a way to get uploaded content executed rather than just stored. That question drove the next phase.</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5 — Web Server Enumeration</w:t>
      </w:r>
    </w:p>
    <w:p>
      <w:pPr>
        <w:spacing w:after="160" w:line="276"/>
      </w:pPr>
      <w:r>
        <w:rPr>
          <w:rFonts w:ascii="Calibri" w:cs="Calibri" w:eastAsia="Calibri" w:hAnsi="Calibri"/>
          <w:sz w:val="22"/>
          <w:szCs w:val="22"/>
        </w:rPr>
        <w:t xml:space="preserve">With two IIS instances identified (port 80 and port 49663), both were probed: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20"/>
                <w:szCs w:val="20"/>
              </w:rPr>
              <w:t xml:space="preserve">nmap -Pn -p80,49663 -sV --script http-title,http-headers,http-enum &lt;target&gt;</w:t>
            </w:r>
          </w:p>
          <w:p>
            <w:pPr>
              <w:spacing w:after="0"/>
            </w:pPr>
            <w:r>
              <w:rPr>
                <w:rFonts w:ascii="Consolas" w:cs="Consolas" w:eastAsia="Consolas" w:hAnsi="Consolas"/>
                <w:color w:val="1A1A1A"/>
                <w:sz w:val="20"/>
                <w:szCs w:val="20"/>
              </w:rPr>
              <w:t xml:space="preserve">curl -i http://&lt;target&gt;:49663/</w:t>
            </w:r>
          </w:p>
        </w:tc>
      </w:tr>
    </w:tbl>
    <w:p>
      <w:pPr>
        <w:spacing w:after="160" w:line="276"/>
      </w:pPr>
      <w:r>
        <w:rPr>
          <w:rFonts w:ascii="Calibri" w:cs="Calibri" w:eastAsia="Calibri" w:hAnsi="Calibri"/>
          <w:sz w:val="22"/>
          <w:szCs w:val="22"/>
        </w:rPr>
        <w:t xml:space="preserve">Both returned the default IIS welcome page, with headers confirming Microsoft-IIS/10.0 and X-Powered-By: ASP.NET — indicating the web server is capable of executing .aspx server-side code, not just serving static content.</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6 — SMB to IIS Mapping Discovery</w:t>
      </w:r>
    </w:p>
    <w:p>
      <w:pPr>
        <w:spacing w:after="160" w:line="276"/>
      </w:pPr>
      <w:r>
        <w:rPr>
          <w:rFonts w:ascii="Calibri" w:cs="Calibri" w:eastAsia="Calibri" w:hAnsi="Calibri"/>
          <w:sz w:val="22"/>
          <w:szCs w:val="22"/>
        </w:rPr>
        <w:t xml:space="preserve">The central pivot of this engagement was testing whether the SMB share name corresponded to a web-accessible virtual directory on the secondary IIS instance: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curl -i http://&lt;target&gt;:49663/nt4wrksv/passwords.txt</w:t>
            </w:r>
          </w:p>
        </w:tc>
      </w:tr>
    </w:tbl>
    <w:p>
      <w:pPr>
        <w:spacing w:after="160" w:line="276"/>
      </w:pPr>
      <w:r>
        <w:rPr>
          <w:rFonts w:ascii="Calibri" w:cs="Calibri" w:eastAsia="Calibri" w:hAnsi="Calibri"/>
          <w:sz w:val="22"/>
          <w:szCs w:val="22"/>
        </w:rPr>
        <w:t xml:space="preserve">This returned HTTP/1.1 200 OK with the same file contents retrieved earlier via SMB.</w:t>
      </w:r>
    </w:p>
    <w:p>
      <w:pPr>
        <w:spacing w:after="160" w:line="276"/>
      </w:pPr>
      <w:r>
        <w:rPr>
          <w:rFonts w:ascii="Calibri" w:cs="Calibri" w:eastAsia="Calibri" w:hAnsi="Calibri"/>
          <w:i/>
          <w:iCs/>
          <w:sz w:val="22"/>
          <w:szCs w:val="22"/>
        </w:rPr>
        <w:t xml:space="preserve">Why this was the critical finding: This confirmed that the filesystem path backing the nt4wrksv SMB share was the same physical directory served by IIS on port 49663. In other words, SMB write access and HTTP read/execute access pointed at the same location on disk. Any file placed via SMB became immediately retrievable — and potentially executable — via HTTP.</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7 — ASPX Execution Testing</w:t>
      </w:r>
    </w:p>
    <w:p>
      <w:pPr>
        <w:spacing w:after="160" w:line="276"/>
      </w:pPr>
      <w:r>
        <w:rPr>
          <w:rFonts w:ascii="Calibri" w:cs="Calibri" w:eastAsia="Calibri" w:hAnsi="Calibri"/>
          <w:sz w:val="22"/>
          <w:szCs w:val="22"/>
        </w:rPr>
        <w:t xml:space="preserve">To confirm code execution (not just static file serving), a minimal .aspx test page was uploaded through the writable SMB share and then requested over HTTP: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curl -i http://&lt;target&gt;:49663/nt4wrksv/test.aspx</w:t>
            </w:r>
          </w:p>
        </w:tc>
      </w:tr>
    </w:tbl>
    <w:p>
      <w:pPr>
        <w:spacing w:after="160" w:line="276"/>
      </w:pPr>
      <w:r>
        <w:rPr>
          <w:rFonts w:ascii="Calibri" w:cs="Calibri" w:eastAsia="Calibri" w:hAnsi="Calibri"/>
          <w:sz w:val="22"/>
          <w:szCs w:val="22"/>
        </w:rPr>
        <w:t xml:space="preserve">The server returned 200 OK with dynamically generated output, confirming that ASP.NET actively executed the uploaded page rather than returning it as plaintext.</w:t>
      </w:r>
    </w:p>
    <w:p>
      <w:pPr>
        <w:spacing w:after="160" w:line="276"/>
      </w:pPr>
      <w:r>
        <w:rPr>
          <w:rFonts w:ascii="Calibri" w:cs="Calibri" w:eastAsia="Calibri" w:hAnsi="Calibri"/>
          <w:i/>
          <w:iCs/>
          <w:sz w:val="22"/>
          <w:szCs w:val="22"/>
        </w:rPr>
        <w:t xml:space="preserve">Why the ASPX file was uploaded: This step validated the full exploitation chain before committing to a reverse shell payload — proving that (a) uploads via SMB land in the web root, and (b) IIS/ASP.NET will execute arbitrary .aspx code placed there. This is the textbook definition of an unrestricted file upload leading to remote code execution.</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8 — Initial Access</w:t>
      </w:r>
    </w:p>
    <w:p>
      <w:pPr>
        <w:spacing w:after="160" w:line="276"/>
      </w:pPr>
      <w:r>
        <w:rPr>
          <w:rFonts w:ascii="Calibri" w:cs="Calibri" w:eastAsia="Calibri" w:hAnsi="Calibri"/>
          <w:sz w:val="22"/>
          <w:szCs w:val="22"/>
        </w:rPr>
        <w:t xml:space="preserve">With execution confirmed, a Windows .aspx reverse shell payload was uploaded to the same writable share and pointed at an attacker-controlled listener: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nc -lvnp 4444</w:t>
            </w:r>
          </w:p>
        </w:tc>
      </w:tr>
    </w:tbl>
    <w:p>
      <w:pPr>
        <w:spacing w:after="160" w:line="276"/>
      </w:pPr>
      <w:r>
        <w:rPr>
          <w:rFonts w:ascii="Calibri" w:cs="Calibri" w:eastAsia="Calibri" w:hAnsi="Calibri"/>
          <w:sz w:val="22"/>
          <w:szCs w:val="22"/>
        </w:rPr>
        <w:t xml:space="preserve">Requesting the payload via HTTP triggered an outbound connection back to the listener. Upon connection, an interactive shell was obtained.</w:t>
      </w:r>
    </w:p>
    <w:p>
      <w:pPr>
        <w:spacing w:after="160" w:line="276"/>
      </w:pPr>
      <w:r>
        <w:rPr>
          <w:rFonts w:ascii="Calibri" w:cs="Calibri" w:eastAsia="Calibri" w:hAnsi="Calibri"/>
          <w:i/>
          <w:iCs/>
          <w:sz w:val="22"/>
          <w:szCs w:val="22"/>
        </w:rPr>
        <w:t xml:space="preserve">How the reverse shell worked, conceptually: The .aspx payload, once executed by the IIS worker process, spawned a native OS process (typically cmd.exe) with its input/output redirected over a TCP socket back to the attacker's listener. Because the payload executes inside the ASP.NET application, it inherits whatever security context IIS assigned to that application pool — it does not require any additional authentication.</w:t>
      </w:r>
    </w:p>
    <w:p>
      <w:pPr>
        <w:spacing w:after="160" w:line="276"/>
      </w:pPr>
      <w:r>
        <w:rPr>
          <w:rFonts w:ascii="Calibri" w:cs="Calibri" w:eastAsia="Calibri" w:hAnsi="Calibri"/>
          <w:sz w:val="22"/>
          <w:szCs w:val="22"/>
        </w:rPr>
        <w:t xml:space="preserve">Verifying identity confirmed the shell ran as: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iis apppool\defaultapppool</w:t>
            </w:r>
          </w:p>
        </w:tc>
      </w:tr>
    </w:tbl>
    <w:p>
      <w:pPr>
        <w:spacing w:after="160" w:line="276"/>
      </w:pPr>
      <w:r>
        <w:rPr>
          <w:rFonts w:ascii="Calibri" w:cs="Calibri" w:eastAsia="Calibri" w:hAnsi="Calibri"/>
          <w:sz w:val="22"/>
          <w:szCs w:val="22"/>
        </w:rPr>
        <w:t xml:space="preserve">This is the default, low-privileged virtual service account IIS creates per application pool — expected behavior for a freshly popped web shell, and the natural starting point for privilege escalation.</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9 — Privilege Enumeration</w:t>
      </w:r>
    </w:p>
    <w:p>
      <w:pPr>
        <w:spacing w:after="160" w:line="276"/>
      </w:pPr>
      <w:r>
        <w:rPr>
          <w:rFonts w:ascii="Calibri" w:cs="Calibri" w:eastAsia="Calibri" w:hAnsi="Calibri"/>
          <w:sz w:val="22"/>
          <w:szCs w:val="22"/>
        </w:rPr>
        <w:t xml:space="preserve">Current token privileges were listed: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whoami /priv</w:t>
            </w:r>
          </w:p>
        </w:tc>
      </w:tr>
    </w:tbl>
    <w:p>
      <w:pPr>
        <w:spacing w:after="160" w:line="276"/>
      </w:pPr>
      <w:r>
        <w:rPr>
          <w:rFonts w:ascii="Calibri" w:cs="Calibri" w:eastAsia="Calibri" w:hAnsi="Calibri"/>
          <w:sz w:val="22"/>
          <w:szCs w:val="22"/>
        </w:rPr>
        <w:t xml:space="preserve">Notably enabled: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20"/>
                <w:szCs w:val="20"/>
              </w:rPr>
              <w:t xml:space="preserve">SeChangeNotifyPrivilege    Enabled</w:t>
            </w:r>
          </w:p>
          <w:p>
            <w:pPr>
              <w:spacing w:after="20"/>
            </w:pPr>
            <w:r>
              <w:rPr>
                <w:rFonts w:ascii="Consolas" w:cs="Consolas" w:eastAsia="Consolas" w:hAnsi="Consolas"/>
                <w:color w:val="1A1A1A"/>
                <w:sz w:val="20"/>
                <w:szCs w:val="20"/>
              </w:rPr>
              <w:t xml:space="preserve">SeImpersonatePrivilege     Enabled</w:t>
            </w:r>
          </w:p>
          <w:p>
            <w:pPr>
              <w:spacing w:after="0"/>
            </w:pPr>
            <w:r>
              <w:rPr>
                <w:rFonts w:ascii="Consolas" w:cs="Consolas" w:eastAsia="Consolas" w:hAnsi="Consolas"/>
                <w:color w:val="1A1A1A"/>
                <w:sz w:val="20"/>
                <w:szCs w:val="20"/>
              </w:rPr>
              <w:t xml:space="preserve">SeCreateGlobalPrivilege    Enabled</w:t>
            </w:r>
          </w:p>
        </w:tc>
      </w:tr>
    </w:tbl>
    <w:p>
      <w:pPr>
        <w:spacing w:after="160" w:line="276"/>
      </w:pPr>
      <w:r>
        <w:rPr>
          <w:rFonts w:ascii="Calibri" w:cs="Calibri" w:eastAsia="Calibri" w:hAnsi="Calibri"/>
          <w:i/>
          <w:iCs/>
          <w:sz w:val="22"/>
          <w:szCs w:val="22"/>
        </w:rPr>
        <w:t xml:space="preserve">Why SeImpersonatePrivilege mattered: This privilege allows a process to impersonate the security context of any client that authenticates to it — a legitimate capability designed for services like IIS or COM+ that need to act on behalf of connecting clients. However, it is also the foundation of an entire class of well-known Windows local privilege escalation techniques (the "Potato" family, PrintSpoofer, RoguePotato, etc.), because it lets a service-level account coerce a SYSTEM-level component (such as the Print Spooler or an RPC/NTLM service) into authenticating locally, and then impersonate that resulting SYSTEM token.</w:t>
      </w:r>
    </w:p>
    <w:p>
      <w:pPr>
        <w:spacing w:after="160" w:line="276"/>
      </w:pPr>
      <w:r>
        <w:rPr>
          <w:rFonts w:ascii="Calibri" w:cs="Calibri" w:eastAsia="Calibri" w:hAnsi="Calibri"/>
          <w:i/>
          <w:iCs/>
          <w:sz w:val="22"/>
          <w:szCs w:val="22"/>
        </w:rPr>
        <w:t xml:space="preserve">Service accounts (like IIS app pool identities) very commonly retain this privilege because it's required for normal IIS functionality — but on unpatched or improperly hardened hosts, it becomes a direct SYSTEM escalation path.</w:t>
      </w:r>
    </w:p>
    <w:p>
      <w:pPr>
        <w:pStyle w:val="Heading1"/>
        <w:pBdr>
          <w:bottom w:val="single" w:color="1F4E79" w:sz="8" w:space="4"/>
        </w:pBdr>
        <w:spacing w:after="200" w:before="400"/>
      </w:pPr>
      <w:r>
        <w:rPr>
          <w:rFonts w:ascii="Calibri" w:cs="Calibri" w:eastAsia="Calibri" w:hAnsi="Calibri"/>
          <w:b/>
          <w:bCs/>
          <w:color w:val="1F4E79"/>
          <w:sz w:val="32"/>
          <w:szCs w:val="32"/>
        </w:rPr>
        <w:t xml:space="preserve">Phase 10 — Privilege Escalation</w:t>
      </w:r>
    </w:p>
    <w:p>
      <w:pPr>
        <w:spacing w:after="160" w:line="276"/>
      </w:pPr>
      <w:r>
        <w:rPr>
          <w:rFonts w:ascii="Calibri" w:cs="Calibri" w:eastAsia="Calibri" w:hAnsi="Calibri"/>
          <w:sz w:val="22"/>
          <w:szCs w:val="22"/>
        </w:rPr>
        <w:t xml:space="preserve">Given the Windows Server 2016 target and confirmed SeImpersonatePrivilege, PrintSpoofer was selected as the escalation technique.</w:t>
      </w:r>
    </w:p>
    <w:p>
      <w:pPr>
        <w:spacing w:after="160" w:line="276"/>
      </w:pPr>
      <w:r>
        <w:rPr>
          <w:rFonts w:ascii="Calibri" w:cs="Calibri" w:eastAsia="Calibri" w:hAnsi="Calibri"/>
          <w:i/>
          <w:iCs/>
          <w:sz w:val="22"/>
          <w:szCs w:val="22"/>
        </w:rPr>
        <w:t xml:space="preserve">Why PrintSpoofer specifically: PrintSpoofer abuses the Windows Print Spooler service's named-pipe RPC interface to trick it into authenticating to an attacker-controlled named pipe as SYSTEM. Because the current token already holds SeImpersonatePrivilege, the attacker's process can capture and impersonate that SYSTEM authentication, then use CreateProcessAsUser (or equivalent) to spawn a new process — such as cmd.exe — running fully as SYSTEM. It was a strong fit here because it does not depend on other Potato-family requirements (like specific COM object availability or outbound NTLM relaying), and it reliably targets exactly the Windows Server 2016 environment observed during reconnaissance.</w:t>
      </w:r>
    </w:p>
    <w:p>
      <w:pPr>
        <w:pStyle w:val="Heading3"/>
        <w:spacing w:after="120" w:before="240"/>
      </w:pPr>
      <w:r>
        <w:rPr>
          <w:rFonts w:ascii="Calibri" w:cs="Calibri" w:eastAsia="Calibri" w:hAnsi="Calibri"/>
          <w:b/>
          <w:bCs/>
          <w:color w:val="2E75B6"/>
          <w:sz w:val="23"/>
          <w:szCs w:val="23"/>
        </w:rPr>
        <w:t xml:space="preserve">Step 1 — Download PrintSpoofer64.exe</w:t>
      </w:r>
    </w:p>
    <w:p>
      <w:pPr>
        <w:spacing w:after="160" w:line="276"/>
      </w:pPr>
      <w:r>
        <w:rPr>
          <w:rFonts w:ascii="Calibri" w:cs="Calibri" w:eastAsia="Calibri" w:hAnsi="Calibri"/>
          <w:sz w:val="22"/>
          <w:szCs w:val="22"/>
        </w:rPr>
        <w:t xml:space="preserve">The PrintSpoofer64.exe binary was downloaded on the attacker machine, staged, and prepared for transfer to the target. This is a publicly available, well-known privilege escalation tool built specifically to weaponize SeImpersonatePrivilege on modern Windows Server builds.</w:t>
      </w:r>
    </w:p>
    <w:p>
      <w:pPr>
        <w:pStyle w:val="Heading3"/>
        <w:spacing w:after="120" w:before="240"/>
      </w:pPr>
      <w:r>
        <w:rPr>
          <w:rFonts w:ascii="Calibri" w:cs="Calibri" w:eastAsia="Calibri" w:hAnsi="Calibri"/>
          <w:b/>
          <w:bCs/>
          <w:color w:val="2E75B6"/>
          <w:sz w:val="23"/>
          <w:szCs w:val="23"/>
        </w:rPr>
        <w:t xml:space="preserve">Step 2 — Upload PrintSpoofer64.exe to the writable SMB share</w:t>
      </w:r>
    </w:p>
    <w:p>
      <w:pPr>
        <w:spacing w:after="160" w:line="276"/>
      </w:pPr>
      <w:r>
        <w:rPr>
          <w:rFonts w:ascii="Calibri" w:cs="Calibri" w:eastAsia="Calibri" w:hAnsi="Calibri"/>
          <w:sz w:val="22"/>
          <w:szCs w:val="22"/>
        </w:rPr>
        <w:t xml:space="preserve">The binary was uploaded to the same writable nt4wrksv share used earlier for the web shell. Since this share was already confirmed to be both writable and mapped directly into the IIS web root, it was the most convenient and reliable delivery channel for transferring tools onto the target — no additional file-transfer method (such as certutil or SMB relay) was required.</w:t>
      </w:r>
    </w:p>
    <w:p>
      <w:pPr>
        <w:pStyle w:val="Heading3"/>
        <w:spacing w:after="120" w:before="240"/>
      </w:pPr>
      <w:r>
        <w:rPr>
          <w:rFonts w:ascii="Calibri" w:cs="Calibri" w:eastAsia="Calibri" w:hAnsi="Calibri"/>
          <w:b/>
          <w:bCs/>
          <w:color w:val="2E75B6"/>
          <w:sz w:val="23"/>
          <w:szCs w:val="23"/>
        </w:rPr>
        <w:t xml:space="preserve">Step 3 — Navigate to the working directory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cd C:\inetpub\wwwroot\nt4wrksv</w:t>
            </w:r>
          </w:p>
        </w:tc>
      </w:tr>
    </w:tbl>
    <w:p>
      <w:pPr>
        <w:spacing w:after="160" w:line="276"/>
      </w:pPr>
      <w:r>
        <w:rPr>
          <w:rFonts w:ascii="Calibri" w:cs="Calibri" w:eastAsia="Calibri" w:hAnsi="Calibri"/>
          <w:sz w:val="22"/>
          <w:szCs w:val="22"/>
        </w:rPr>
        <w:t xml:space="preserve">This is the on-disk path that IIS serves as the nt4wrksv virtual directory — the same location backing the SMB share. Navigating here from the reverse shell put the operator in the same directory where PrintSpoofer64.exe had just been uploaded, so it could be executed directly by filename without specifying a full path.</w:t>
      </w:r>
    </w:p>
    <w:p>
      <w:pPr>
        <w:pStyle w:val="Heading3"/>
        <w:spacing w:after="120" w:before="240"/>
      </w:pPr>
      <w:r>
        <w:rPr>
          <w:rFonts w:ascii="Calibri" w:cs="Calibri" w:eastAsia="Calibri" w:hAnsi="Calibri"/>
          <w:b/>
          <w:bCs/>
          <w:color w:val="2E75B6"/>
          <w:sz w:val="23"/>
          <w:szCs w:val="23"/>
        </w:rPr>
        <w:t xml:space="preserve">Step 4 — Verify the uploaded files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dir</w:t>
            </w:r>
          </w:p>
        </w:tc>
      </w:tr>
    </w:tbl>
    <w:p>
      <w:pPr>
        <w:spacing w:after="160" w:line="276"/>
      </w:pPr>
      <w:r>
        <w:rPr>
          <w:rFonts w:ascii="Calibri" w:cs="Calibri" w:eastAsia="Calibri" w:hAnsi="Calibri"/>
          <w:sz w:val="22"/>
          <w:szCs w:val="22"/>
        </w:rPr>
        <w:t xml:space="preserve">Listing the directory confirmed that PrintSpoofer64.exe had successfully landed on disk and was present alongside the earlier test/shell files. This is a simple but important sanity check — attempting to execute a tool that failed to upload (e.g., due to an antivirus block or a truncated transfer) is a common source of wasted time during an engagement.</w:t>
      </w:r>
    </w:p>
    <w:p>
      <w:pPr>
        <w:pStyle w:val="Heading3"/>
        <w:spacing w:after="120" w:before="240"/>
      </w:pPr>
      <w:r>
        <w:rPr>
          <w:rFonts w:ascii="Calibri" w:cs="Calibri" w:eastAsia="Calibri" w:hAnsi="Calibri"/>
          <w:b/>
          <w:bCs/>
          <w:color w:val="2E75B6"/>
          <w:sz w:val="23"/>
          <w:szCs w:val="23"/>
        </w:rPr>
        <w:t xml:space="preserve">Step 5 — Re-confirm current privileges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whoami /priv</w:t>
            </w:r>
          </w:p>
        </w:tc>
      </w:tr>
    </w:tbl>
    <w:p>
      <w:pPr>
        <w:spacing w:after="160" w:line="276"/>
      </w:pPr>
      <w:r>
        <w:rPr>
          <w:rFonts w:ascii="Calibri" w:cs="Calibri" w:eastAsia="Calibri" w:hAnsi="Calibri"/>
          <w:sz w:val="22"/>
          <w:szCs w:val="22"/>
        </w:rPr>
        <w:t xml:space="preserve">Privileges were checked a second time immediately before exploitation. This confirms that the token held by the current shell still has SeImpersonatePrivilege enabled at the moment of exploitation (rather than relying on an earlier enumeration pass), since privilege state can in principle change between session actions.</w:t>
      </w:r>
    </w:p>
    <w:p>
      <w:pPr>
        <w:pStyle w:val="Heading3"/>
        <w:spacing w:after="120" w:before="240"/>
      </w:pPr>
      <w:r>
        <w:rPr>
          <w:rFonts w:ascii="Calibri" w:cs="Calibri" w:eastAsia="Calibri" w:hAnsi="Calibri"/>
          <w:b/>
          <w:bCs/>
          <w:color w:val="2E75B6"/>
          <w:sz w:val="23"/>
          <w:szCs w:val="23"/>
        </w:rPr>
        <w:t xml:space="preserve">Step 6 — Execute PrintSpoofer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PrintSpoofer64.exe -i -c cmd.exe</w:t>
            </w:r>
          </w:p>
        </w:tc>
      </w:tr>
    </w:tbl>
    <w:p>
      <w:pPr>
        <w:spacing w:after="160" w:line="276"/>
      </w:pPr>
      <w:r>
        <w:rPr>
          <w:rFonts w:ascii="Calibri" w:cs="Calibri" w:eastAsia="Calibri" w:hAnsi="Calibri"/>
          <w:sz w:val="22"/>
          <w:szCs w:val="22"/>
        </w:rPr>
        <w:t xml:space="preserve">Breaking down the flags used:</w:t>
      </w:r>
    </w:p>
    <w:p>
      <w:pPr>
        <w:pStyle w:val="ListParagraph"/>
        <w:numPr>
          <w:ilvl w:val="0"/>
          <w:numId w:val="1"/>
        </w:numPr>
        <w:spacing w:after="80"/>
      </w:pPr>
      <w:r>
        <w:rPr>
          <w:rFonts w:ascii="Calibri" w:cs="Calibri" w:eastAsia="Calibri" w:hAnsi="Calibri"/>
          <w:sz w:val="22"/>
          <w:szCs w:val="22"/>
        </w:rPr>
        <w:t xml:space="preserve">-i — runs the spawned process interactively, attaching it to the current console session so the operator gets a live, usable shell rather than a detached background process.</w:t>
      </w:r>
    </w:p>
    <w:p>
      <w:pPr>
        <w:pStyle w:val="ListParagraph"/>
        <w:numPr>
          <w:ilvl w:val="0"/>
          <w:numId w:val="1"/>
        </w:numPr>
        <w:spacing w:after="80"/>
      </w:pPr>
      <w:r>
        <w:rPr>
          <w:rFonts w:ascii="Calibri" w:cs="Calibri" w:eastAsia="Calibri" w:hAnsi="Calibri"/>
          <w:sz w:val="22"/>
          <w:szCs w:val="22"/>
        </w:rPr>
        <w:t xml:space="preserve">-c cmd.exe — specifies the command to execute once the SYSTEM token has been obtained; here, a fresh command prompt running under the impersonated SYSTEM context.</w:t>
      </w:r>
    </w:p>
    <w:p>
      <w:pPr>
        <w:spacing w:after="160" w:line="276"/>
      </w:pPr>
      <w:r>
        <w:rPr>
          <w:rFonts w:ascii="Calibri" w:cs="Calibri" w:eastAsia="Calibri" w:hAnsi="Calibri"/>
          <w:sz w:val="22"/>
          <w:szCs w:val="22"/>
        </w:rPr>
        <w:t xml:space="preserve">Under the hood, PrintSpoofer opens a named pipe and coerces the Print Spooler service into connecting to it and authenticating as the local SYSTEM account. Because the current process token holds SeImpersonatePrivilege, the tool can call ImpersonateNamedPipeClient on that connection, capturing a SYSTEM-level impersonation token. It then duplicates that token into a primary token and uses it to launch the requested process (cmd.exe), which consequently runs with full SYSTEM privileges rather than the original iis apppool\defaultapppool identity.</w:t>
      </w:r>
    </w:p>
    <w:p>
      <w:pPr>
        <w:pStyle w:val="Heading3"/>
        <w:spacing w:after="120" w:before="240"/>
      </w:pPr>
      <w:r>
        <w:rPr>
          <w:rFonts w:ascii="Calibri" w:cs="Calibri" w:eastAsia="Calibri" w:hAnsi="Calibri"/>
          <w:b/>
          <w:bCs/>
          <w:color w:val="2E75B6"/>
          <w:sz w:val="23"/>
          <w:szCs w:val="23"/>
        </w:rPr>
        <w:t xml:space="preserve">Step 7 — Verify the new privilege level</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whoami</w:t>
            </w:r>
          </w:p>
        </w:tc>
      </w:tr>
    </w:tbl>
    <w:p>
      <w:pPr>
        <w:spacing w:after="160" w:line="276"/>
      </w:pPr>
      <w:r>
        <w:rPr>
          <w:rFonts w:ascii="Calibri" w:cs="Calibri" w:eastAsia="Calibri" w:hAnsi="Calibri"/>
          <w:sz w:val="22"/>
          <w:szCs w:val="22"/>
        </w:rPr>
        <w:t xml:space="preserve">The result was: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nt authority\system</w:t>
            </w:r>
          </w:p>
        </w:tc>
      </w:tr>
    </w:tbl>
    <w:p>
      <w:pPr>
        <w:spacing w:after="160" w:line="276"/>
      </w:pPr>
      <w:r>
        <w:rPr>
          <w:rFonts w:ascii="Calibri" w:cs="Calibri" w:eastAsia="Calibri" w:hAnsi="Calibri"/>
          <w:sz w:val="22"/>
          <w:szCs w:val="22"/>
        </w:rPr>
        <w:t xml:space="preserve">This confirmed that the newly spawned cmd.exe process was running as NT AUTHORITY\SYSTEM — the highest privilege level on a Windows host — verifying that the impersonation and token duplication performed by PrintSpoofer succeeded. Privilege escalation was therefore complete and successful.</w:t>
      </w:r>
    </w:p>
    <w:p>
      <w:pPr>
        <w:pStyle w:val="Heading1"/>
        <w:pBdr>
          <w:bottom w:val="single" w:color="1F4E79" w:sz="8" w:space="4"/>
        </w:pBdr>
        <w:spacing w:after="200" w:before="400"/>
      </w:pPr>
      <w:r>
        <w:rPr>
          <w:rFonts w:ascii="Calibri" w:cs="Calibri" w:eastAsia="Calibri" w:hAnsi="Calibri"/>
          <w:b/>
          <w:bCs/>
          <w:color w:val="1F4E79"/>
          <w:sz w:val="32"/>
          <w:szCs w:val="32"/>
        </w:rPr>
        <w:t xml:space="preserve">Flag Capture</w:t>
      </w:r>
    </w:p>
    <w:p>
      <w:pPr>
        <w:spacing w:after="160" w:line="276"/>
      </w:pPr>
      <w:r>
        <w:rPr>
          <w:rFonts w:ascii="Calibri" w:cs="Calibri" w:eastAsia="Calibri" w:hAnsi="Calibri"/>
          <w:sz w:val="22"/>
          <w:szCs w:val="22"/>
        </w:rPr>
        <w:t xml:space="preserve">After obtaining SYSTEM privileges, the flags could be read from any user's profile on the disk, since SYSTEM has unrestricted filesystem access regardless of NTFS permissions set on individual user folders.</w:t>
      </w:r>
    </w:p>
    <w:p>
      <w:pPr>
        <w:pStyle w:val="Heading3"/>
        <w:spacing w:after="120" w:before="240"/>
      </w:pPr>
      <w:r>
        <w:rPr>
          <w:rFonts w:ascii="Calibri" w:cs="Calibri" w:eastAsia="Calibri" w:hAnsi="Calibri"/>
          <w:b/>
          <w:bCs/>
          <w:color w:val="2E75B6"/>
          <w:sz w:val="23"/>
          <w:szCs w:val="23"/>
        </w:rPr>
        <w:t xml:space="preserve">Root Flag</w:t>
      </w:r>
    </w:p>
    <w:p>
      <w:pPr>
        <w:spacing w:after="160" w:line="276"/>
      </w:pPr>
      <w:r>
        <w:rPr>
          <w:rFonts w:ascii="Calibri" w:cs="Calibri" w:eastAsia="Calibri" w:hAnsi="Calibri"/>
          <w:sz w:val="22"/>
          <w:szCs w:val="22"/>
        </w:rPr>
        <w:t xml:space="preserve">The Root flag was located on the Administrator's desktop and read using: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C:\Users\Administrator\Desktop\root.txt</w:t>
            </w:r>
          </w:p>
        </w:tc>
      </w:tr>
    </w:tbl>
    <w:p>
      <w:pPr>
        <w:spacing w:after="160" w:line="276"/>
      </w:pPr>
      <w:r>
        <w:rPr>
          <w:rFonts w:ascii="Calibri" w:cs="Calibri" w:eastAsia="Calibri" w:hAnsi="Calibri"/>
          <w:sz w:val="22"/>
          <w:szCs w:val="22"/>
        </w:rPr>
        <w:t xml:space="preserve">Because the shell was now running as SYSTEM — a higher-privileged account than even the local Administrator — it was able to read files inside the Administrator's profile directory without any access-denied errors, despite that directory normally being restricted to the Administrator account and other privileged principals.</w:t>
      </w:r>
    </w:p>
    <w:p>
      <w:pPr>
        <w:spacing w:after="160" w:line="276"/>
      </w:pPr>
      <w:r>
        <w:rPr>
          <w:rFonts w:ascii="Calibri" w:cs="Calibri" w:eastAsia="Calibri" w:hAnsi="Calibri"/>
          <w:sz w:val="22"/>
          <w:szCs w:val="22"/>
        </w:rPr>
        <w:t xml:space="preserve">Root Flag: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THM{1fk5kf469devly1gl320zafgl345pv}</w:t>
            </w:r>
          </w:p>
        </w:tc>
      </w:tr>
    </w:tbl>
    <w:p>
      <w:pPr>
        <w:pStyle w:val="Heading3"/>
        <w:spacing w:after="120" w:before="240"/>
      </w:pPr>
      <w:r>
        <w:rPr>
          <w:rFonts w:ascii="Calibri" w:cs="Calibri" w:eastAsia="Calibri" w:hAnsi="Calibri"/>
          <w:b/>
          <w:bCs/>
          <w:color w:val="2E75B6"/>
          <w:sz w:val="23"/>
          <w:szCs w:val="23"/>
        </w:rPr>
        <w:t xml:space="preserve">User Flag</w:t>
      </w:r>
    </w:p>
    <w:p>
      <w:pPr>
        <w:spacing w:after="160" w:line="276"/>
      </w:pPr>
      <w:r>
        <w:rPr>
          <w:rFonts w:ascii="Calibri" w:cs="Calibri" w:eastAsia="Calibri" w:hAnsi="Calibri"/>
          <w:sz w:val="22"/>
          <w:szCs w:val="22"/>
        </w:rPr>
        <w:t xml:space="preserve">The User flag was located on Bob's desktop and read using: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C:\Users\Bob\Desktop\user.txt</w:t>
            </w:r>
          </w:p>
        </w:tc>
      </w:tr>
    </w:tbl>
    <w:p>
      <w:pPr>
        <w:spacing w:after="160" w:line="276"/>
      </w:pPr>
      <w:r>
        <w:rPr>
          <w:rFonts w:ascii="Calibri" w:cs="Calibri" w:eastAsia="Calibri" w:hAnsi="Calibri"/>
          <w:sz w:val="22"/>
          <w:szCs w:val="22"/>
        </w:rPr>
        <w:t xml:space="preserve">This flag was retrievable even before privilege escalation in some scenarios (if Bob's credentials or session had been used), but was confirmed here from the SYSTEM-level shell for completeness, demonstrating that full filesystem access had been achieved across all user profiles on the host.</w:t>
      </w:r>
    </w:p>
    <w:p>
      <w:pPr>
        <w:spacing w:after="160" w:line="276"/>
      </w:pPr>
      <w:r>
        <w:rPr>
          <w:rFonts w:ascii="Calibri" w:cs="Calibri" w:eastAsia="Calibri" w:hAnsi="Calibri"/>
          <w:sz w:val="22"/>
          <w:szCs w:val="22"/>
        </w:rPr>
        <w:t xml:space="preserve">User Flag: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THM{fdk4ka34vk346ksxfr21tg789ktf45}</w:t>
            </w:r>
          </w:p>
        </w:tc>
      </w:tr>
    </w:tbl>
    <w:p>
      <w:pPr>
        <w:spacing w:after="160" w:line="276"/>
      </w:pPr>
      <w:r>
        <w:rPr>
          <w:rFonts w:ascii="Calibri" w:cs="Calibri" w:eastAsia="Calibri" w:hAnsi="Calibri"/>
          <w:i/>
          <w:iCs/>
          <w:sz w:val="22"/>
          <w:szCs w:val="22"/>
        </w:rPr>
        <w:t xml:space="preserve">Capturing both flags confirmed that the attack chain — from anonymous SMB enumeration through web shell upload to SYSTEM-level privilege escalation — resulted in complete compromise of the target host, with full read/write access across the entire filesystem.</w:t>
      </w:r>
    </w:p>
    <w:p>
      <w:pPr>
        <w:pStyle w:val="Heading1"/>
        <w:pBdr>
          <w:bottom w:val="single" w:color="1F4E79" w:sz="8" w:space="4"/>
        </w:pBdr>
        <w:spacing w:after="200" w:before="400"/>
      </w:pPr>
      <w:r>
        <w:rPr>
          <w:rFonts w:ascii="Calibri" w:cs="Calibri" w:eastAsia="Calibri" w:hAnsi="Calibri"/>
          <w:b/>
          <w:bCs/>
          <w:color w:val="1F4E79"/>
          <w:sz w:val="32"/>
          <w:szCs w:val="32"/>
        </w:rPr>
        <w:t xml:space="preserve">Attack Chain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20"/>
                <w:szCs w:val="20"/>
              </w:rPr>
              <w:t xml:space="preserve">Nmap Reconnaissance</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Identify SMB (445) and secondary IIS (49663)</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Enumerate SMB shares anonymously</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Discover non-default share: nt4wrksv</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Download &amp; Base64-decode passwords.txt</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Confirm share is writable</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Discover secondary IIS instance</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Confirm nt4wrksv is mapped as a web-accessible directory</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Confirm .aspx code execution via test payload</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Upload .aspx reverse shell, trigger via HTTP</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Initial access as iis apppool\defaultapppool</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Enumerate privileges → SeImpersonatePrivilege enabled</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Execute PrintSpoofer64.exe -i -c cmd.exe</w:t>
            </w:r>
          </w:p>
          <w:p>
            <w:pPr>
              <w:spacing w:after="20"/>
            </w:pPr>
            <w:r>
              <w:rPr>
                <w:rFonts w:ascii="Consolas" w:cs="Consolas" w:eastAsia="Consolas" w:hAnsi="Consolas"/>
                <w:color w:val="1A1A1A"/>
                <w:sz w:val="20"/>
                <w:szCs w:val="20"/>
              </w:rPr>
              <w:t xml:space="preserve">        ↓</w:t>
            </w:r>
          </w:p>
          <w:p>
            <w:pPr>
              <w:spacing w:after="20"/>
            </w:pPr>
            <w:r>
              <w:rPr>
                <w:rFonts w:ascii="Consolas" w:cs="Consolas" w:eastAsia="Consolas" w:hAnsi="Consolas"/>
                <w:color w:val="1A1A1A"/>
                <w:sz w:val="20"/>
                <w:szCs w:val="20"/>
              </w:rPr>
              <w:t xml:space="preserve">Escalate to NT AUTHORITY\SYSTEM</w:t>
            </w:r>
          </w:p>
          <w:p>
            <w:pPr>
              <w:spacing w:after="2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Capture user.txt and root.txt</w:t>
            </w:r>
          </w:p>
        </w:tc>
      </w:tr>
    </w:tbl>
    <w:p>
      <w:pPr>
        <w:pStyle w:val="Heading1"/>
        <w:pBdr>
          <w:bottom w:val="single" w:color="1F4E79" w:sz="8" w:space="4"/>
        </w:pBdr>
        <w:spacing w:after="200" w:before="400"/>
      </w:pPr>
      <w:r>
        <w:rPr>
          <w:rFonts w:ascii="Calibri" w:cs="Calibri" w:eastAsia="Calibri" w:hAnsi="Calibri"/>
          <w:b/>
          <w:bCs/>
          <w:color w:val="1F4E79"/>
          <w:sz w:val="32"/>
          <w:szCs w:val="32"/>
        </w:rPr>
        <w:t xml:space="preserve">Vulnerabilities Identified</w:t>
      </w:r>
    </w:p>
    <w:p>
      <w:pPr>
        <w:spacing w:after="100" w:before="240"/>
      </w:pPr>
      <w:r>
        <w:rPr>
          <w:rFonts w:ascii="Calibri" w:cs="Calibri" w:eastAsia="Calibri" w:hAnsi="Calibri"/>
          <w:b/>
          <w:bCs/>
          <w:color w:val="1F4E79"/>
          <w:sz w:val="23"/>
          <w:szCs w:val="23"/>
        </w:rPr>
        <w:t xml:space="preserve">Finding 1 — Sensitive Credentials Stored on an Accessible SMB Share</w:t>
      </w:r>
    </w:p>
    <w:p>
      <w:pPr>
        <w:spacing w:after="160" w:line="276"/>
      </w:pPr>
      <w:r>
        <w:rPr>
          <w:rFonts w:ascii="Calibri" w:cs="Calibri" w:eastAsia="Calibri" w:hAnsi="Calibri"/>
          <w:b/>
          <w:bCs/>
          <w:sz w:val="20"/>
          <w:szCs w:val="20"/>
        </w:rPr>
        <w:t xml:space="preserve">Severity: </w:t>
      </w:r>
      <w:r>
        <w:rPr>
          <w:rFonts w:ascii="Calibri" w:cs="Calibri" w:eastAsia="Calibri" w:hAnsi="Calibri"/>
          <w:b/>
          <w:bCs/>
          <w:color w:val="C00000"/>
          <w:sz w:val="20"/>
          <w:szCs w:val="20"/>
        </w:rPr>
        <w:t xml:space="preserve">High</w:t>
      </w:r>
    </w:p>
    <w:p>
      <w:pPr>
        <w:spacing w:after="160" w:line="276"/>
      </w:pPr>
      <w:r>
        <w:rPr>
          <w:rFonts w:ascii="Calibri" w:cs="Calibri" w:eastAsia="Calibri" w:hAnsi="Calibri"/>
          <w:sz w:val="22"/>
          <w:szCs w:val="22"/>
        </w:rPr>
        <w:t xml:space="preserve">A file containing user credentials was stored on an SMB share reachable without valid authentication. The values were only Base64-encoded, which provides no real confidentiality.</w:t>
      </w:r>
    </w:p>
    <w:p>
      <w:pPr>
        <w:spacing w:after="40" w:before="120"/>
      </w:pPr>
      <w:r>
        <w:rPr>
          <w:rFonts w:ascii="Calibri" w:cs="Calibri" w:eastAsia="Calibri" w:hAnsi="Calibri"/>
          <w:b/>
          <w:bCs/>
          <w:i/>
          <w:iCs/>
          <w:color w:val="555555"/>
          <w:sz w:val="20"/>
          <w:szCs w:val="20"/>
        </w:rPr>
        <w:t xml:space="preserve">Impact:</w:t>
      </w:r>
    </w:p>
    <w:p>
      <w:pPr>
        <w:pStyle w:val="ListParagraph"/>
        <w:numPr>
          <w:ilvl w:val="0"/>
          <w:numId w:val="1"/>
        </w:numPr>
        <w:spacing w:after="80"/>
      </w:pPr>
      <w:r>
        <w:rPr>
          <w:rFonts w:ascii="Calibri" w:cs="Calibri" w:eastAsia="Calibri" w:hAnsi="Calibri"/>
          <w:sz w:val="22"/>
          <w:szCs w:val="22"/>
        </w:rPr>
        <w:t xml:space="preserve">Direct credential disclosure, enabling lateral movement, RDP login attempts, and reuse against other services.</w:t>
      </w:r>
    </w:p>
    <w:p>
      <w:pPr>
        <w:spacing w:after="100" w:before="240"/>
      </w:pPr>
      <w:r>
        <w:rPr>
          <w:rFonts w:ascii="Calibri" w:cs="Calibri" w:eastAsia="Calibri" w:hAnsi="Calibri"/>
          <w:b/>
          <w:bCs/>
          <w:color w:val="1F4E79"/>
          <w:sz w:val="23"/>
          <w:szCs w:val="23"/>
        </w:rPr>
        <w:t xml:space="preserve">Finding 2 — Writable SMB Share</w:t>
      </w:r>
    </w:p>
    <w:p>
      <w:pPr>
        <w:spacing w:after="160" w:line="276"/>
      </w:pPr>
      <w:r>
        <w:rPr>
          <w:rFonts w:ascii="Calibri" w:cs="Calibri" w:eastAsia="Calibri" w:hAnsi="Calibri"/>
          <w:b/>
          <w:bCs/>
          <w:sz w:val="20"/>
          <w:szCs w:val="20"/>
        </w:rPr>
        <w:t xml:space="preserve">Severity: </w:t>
      </w:r>
      <w:r>
        <w:rPr>
          <w:rFonts w:ascii="Calibri" w:cs="Calibri" w:eastAsia="Calibri" w:hAnsi="Calibri"/>
          <w:b/>
          <w:bCs/>
          <w:color w:val="C00000"/>
          <w:sz w:val="20"/>
          <w:szCs w:val="20"/>
        </w:rPr>
        <w:t xml:space="preserve">High</w:t>
      </w:r>
    </w:p>
    <w:p>
      <w:pPr>
        <w:spacing w:after="160" w:line="276"/>
      </w:pPr>
      <w:r>
        <w:rPr>
          <w:rFonts w:ascii="Calibri" w:cs="Calibri" w:eastAsia="Calibri" w:hAnsi="Calibri"/>
          <w:sz w:val="22"/>
          <w:szCs w:val="22"/>
        </w:rPr>
        <w:t xml:space="preserve">The nt4wrksv share permitted file uploads from an unauthenticated or low-privileged context.</w:t>
      </w:r>
    </w:p>
    <w:p>
      <w:pPr>
        <w:spacing w:after="40" w:before="120"/>
      </w:pPr>
      <w:r>
        <w:rPr>
          <w:rFonts w:ascii="Calibri" w:cs="Calibri" w:eastAsia="Calibri" w:hAnsi="Calibri"/>
          <w:b/>
          <w:bCs/>
          <w:i/>
          <w:iCs/>
          <w:color w:val="555555"/>
          <w:sz w:val="20"/>
          <w:szCs w:val="20"/>
        </w:rPr>
        <w:t xml:space="preserve">Impact:</w:t>
      </w:r>
    </w:p>
    <w:p>
      <w:pPr>
        <w:pStyle w:val="ListParagraph"/>
        <w:numPr>
          <w:ilvl w:val="0"/>
          <w:numId w:val="1"/>
        </w:numPr>
        <w:spacing w:after="80"/>
      </w:pPr>
      <w:r>
        <w:rPr>
          <w:rFonts w:ascii="Calibri" w:cs="Calibri" w:eastAsia="Calibri" w:hAnsi="Calibri"/>
          <w:sz w:val="22"/>
          <w:szCs w:val="22"/>
        </w:rPr>
        <w:t xml:space="preserve">Unauthorized file storage, potential for malware/web shell hosting.</w:t>
      </w:r>
    </w:p>
    <w:p>
      <w:pPr>
        <w:spacing w:after="100" w:before="240"/>
      </w:pPr>
      <w:r>
        <w:rPr>
          <w:rFonts w:ascii="Calibri" w:cs="Calibri" w:eastAsia="Calibri" w:hAnsi="Calibri"/>
          <w:b/>
          <w:bCs/>
          <w:color w:val="1F4E79"/>
          <w:sz w:val="23"/>
          <w:szCs w:val="23"/>
        </w:rPr>
        <w:t xml:space="preserve">Finding 3 — SMB Share Mapped to a Web-Executable IIS Directory</w:t>
      </w:r>
    </w:p>
    <w:p>
      <w:pPr>
        <w:spacing w:after="160" w:line="276"/>
      </w:pPr>
      <w:r>
        <w:rPr>
          <w:rFonts w:ascii="Calibri" w:cs="Calibri" w:eastAsia="Calibri" w:hAnsi="Calibri"/>
          <w:b/>
          <w:bCs/>
          <w:sz w:val="20"/>
          <w:szCs w:val="20"/>
        </w:rPr>
        <w:t xml:space="preserve">Severity: </w:t>
      </w:r>
      <w:r>
        <w:rPr>
          <w:rFonts w:ascii="Calibri" w:cs="Calibri" w:eastAsia="Calibri" w:hAnsi="Calibri"/>
          <w:b/>
          <w:bCs/>
          <w:color w:val="7F0000"/>
          <w:sz w:val="20"/>
          <w:szCs w:val="20"/>
        </w:rPr>
        <w:t xml:space="preserve">Critical</w:t>
      </w:r>
    </w:p>
    <w:p>
      <w:pPr>
        <w:spacing w:after="160" w:line="276"/>
      </w:pPr>
      <w:r>
        <w:rPr>
          <w:rFonts w:ascii="Calibri" w:cs="Calibri" w:eastAsia="Calibri" w:hAnsi="Calibri"/>
          <w:sz w:val="22"/>
          <w:szCs w:val="22"/>
        </w:rPr>
        <w:t xml:space="preserve">The writable SMB share and a live ASP.NET web directory pointed to the same filesystem location, and uploaded .aspx files were executed by IIS.</w:t>
      </w:r>
    </w:p>
    <w:p>
      <w:pPr>
        <w:spacing w:after="40" w:before="120"/>
      </w:pPr>
      <w:r>
        <w:rPr>
          <w:rFonts w:ascii="Calibri" w:cs="Calibri" w:eastAsia="Calibri" w:hAnsi="Calibri"/>
          <w:b/>
          <w:bCs/>
          <w:i/>
          <w:iCs/>
          <w:color w:val="555555"/>
          <w:sz w:val="20"/>
          <w:szCs w:val="20"/>
        </w:rPr>
        <w:t xml:space="preserve">Impact:</w:t>
      </w:r>
    </w:p>
    <w:p>
      <w:pPr>
        <w:pStyle w:val="ListParagraph"/>
        <w:numPr>
          <w:ilvl w:val="0"/>
          <w:numId w:val="1"/>
        </w:numPr>
        <w:spacing w:after="80"/>
      </w:pPr>
      <w:r>
        <w:rPr>
          <w:rFonts w:ascii="Calibri" w:cs="Calibri" w:eastAsia="Calibri" w:hAnsi="Calibri"/>
          <w:sz w:val="22"/>
          <w:szCs w:val="22"/>
        </w:rPr>
        <w:t xml:space="preserve">Full remote code execution as the IIS application pool identity — the single most damaging finding in the assessment, as it converted a file-upload misconfiguration into an interactive shell.</w:t>
      </w:r>
    </w:p>
    <w:p>
      <w:pPr>
        <w:spacing w:after="100" w:before="240"/>
      </w:pPr>
      <w:r>
        <w:rPr>
          <w:rFonts w:ascii="Calibri" w:cs="Calibri" w:eastAsia="Calibri" w:hAnsi="Calibri"/>
          <w:b/>
          <w:bCs/>
          <w:color w:val="1F4E79"/>
          <w:sz w:val="23"/>
          <w:szCs w:val="23"/>
        </w:rPr>
        <w:t xml:space="preserve">Finding 4 — Excessive Application Pool Privileges (SeImpersonatePrivilege)</w:t>
      </w:r>
    </w:p>
    <w:p>
      <w:pPr>
        <w:spacing w:after="160" w:line="276"/>
      </w:pPr>
      <w:r>
        <w:rPr>
          <w:rFonts w:ascii="Calibri" w:cs="Calibri" w:eastAsia="Calibri" w:hAnsi="Calibri"/>
          <w:b/>
          <w:bCs/>
          <w:sz w:val="20"/>
          <w:szCs w:val="20"/>
        </w:rPr>
        <w:t xml:space="preserve">Severity: </w:t>
      </w:r>
      <w:r>
        <w:rPr>
          <w:rFonts w:ascii="Calibri" w:cs="Calibri" w:eastAsia="Calibri" w:hAnsi="Calibri"/>
          <w:b/>
          <w:bCs/>
          <w:color w:val="C00000"/>
          <w:sz w:val="20"/>
          <w:szCs w:val="20"/>
        </w:rPr>
        <w:t xml:space="preserve">High</w:t>
      </w:r>
    </w:p>
    <w:p>
      <w:pPr>
        <w:spacing w:after="160" w:line="276"/>
      </w:pPr>
      <w:r>
        <w:rPr>
          <w:rFonts w:ascii="Calibri" w:cs="Calibri" w:eastAsia="Calibri" w:hAnsi="Calibri"/>
          <w:sz w:val="22"/>
          <w:szCs w:val="22"/>
        </w:rPr>
        <w:t xml:space="preserve">The IIS application pool identity retained SeImpersonatePrivilege, enabling token-impersonation-based local privilege escalation (PrintSpoofer) to SYSTEM.</w:t>
      </w:r>
    </w:p>
    <w:p>
      <w:pPr>
        <w:spacing w:after="40" w:before="120"/>
      </w:pPr>
      <w:r>
        <w:rPr>
          <w:rFonts w:ascii="Calibri" w:cs="Calibri" w:eastAsia="Calibri" w:hAnsi="Calibri"/>
          <w:b/>
          <w:bCs/>
          <w:i/>
          <w:iCs/>
          <w:color w:val="555555"/>
          <w:sz w:val="20"/>
          <w:szCs w:val="20"/>
        </w:rPr>
        <w:t xml:space="preserve">Impact:</w:t>
      </w:r>
    </w:p>
    <w:p>
      <w:pPr>
        <w:pStyle w:val="ListParagraph"/>
        <w:numPr>
          <w:ilvl w:val="0"/>
          <w:numId w:val="1"/>
        </w:numPr>
        <w:spacing w:after="80"/>
      </w:pPr>
      <w:r>
        <w:rPr>
          <w:rFonts w:ascii="Calibri" w:cs="Calibri" w:eastAsia="Calibri" w:hAnsi="Calibri"/>
          <w:sz w:val="22"/>
          <w:szCs w:val="22"/>
        </w:rPr>
        <w:t xml:space="preserve">Complete takeover of the host from a low-privileged web shell.</w:t>
      </w:r>
    </w:p>
    <w:p>
      <w:pPr>
        <w:pStyle w:val="Heading1"/>
        <w:pBdr>
          <w:bottom w:val="single" w:color="1F4E79" w:sz="8" w:space="4"/>
        </w:pBdr>
        <w:spacing w:after="200" w:before="400"/>
      </w:pPr>
      <w:r>
        <w:rPr>
          <w:rFonts w:ascii="Calibri" w:cs="Calibri" w:eastAsia="Calibri" w:hAnsi="Calibri"/>
          <w:b/>
          <w:bCs/>
          <w:color w:val="1F4E79"/>
          <w:sz w:val="32"/>
          <w:szCs w:val="32"/>
        </w:rPr>
        <w:t xml:space="preserve">Risk Assessment</w:t>
      </w:r>
    </w:p>
    <w:p>
      <w:pPr>
        <w:spacing w:after="160" w:line="276"/>
      </w:pPr>
      <w:r>
        <w:rPr>
          <w:rFonts w:ascii="Calibri" w:cs="Calibri" w:eastAsia="Calibri" w:hAnsi="Calibri"/>
          <w:sz w:val="22"/>
          <w:szCs w:val="22"/>
        </w:rPr>
        <w:t xml:space="preserve">Individually, several of these findings might be classified as medium risk. However, their combination created a direct, low-complexity path from unauthenticated network access to full SYSTEM compromise, with no requirement for social engineering, credential guessing, or advanced exploit development. This chain should be treated as Critical overall risk.</w:t>
      </w:r>
    </w:p>
    <w:p>
      <w:pPr>
        <w:pStyle w:val="Heading1"/>
        <w:pBdr>
          <w:bottom w:val="single" w:color="1F4E79" w:sz="8" w:space="4"/>
        </w:pBdr>
        <w:spacing w:after="200" w:before="400"/>
      </w:pPr>
      <w:r>
        <w:rPr>
          <w:rFonts w:ascii="Calibri" w:cs="Calibri" w:eastAsia="Calibri" w:hAnsi="Calibri"/>
          <w:b/>
          <w:bCs/>
          <w:color w:val="1F4E79"/>
          <w:sz w:val="32"/>
          <w:szCs w:val="32"/>
        </w:rPr>
        <w:t xml:space="preserve">Remediation Recommendations</w:t>
      </w:r>
    </w:p>
    <w:p>
      <w:pPr>
        <w:pStyle w:val="Heading2"/>
        <w:spacing w:after="160" w:before="320"/>
      </w:pPr>
      <w:r>
        <w:rPr>
          <w:rFonts w:ascii="Calibri" w:cs="Calibri" w:eastAsia="Calibri" w:hAnsi="Calibri"/>
          <w:b/>
          <w:bCs/>
          <w:color w:val="1F4E79"/>
          <w:sz w:val="26"/>
          <w:szCs w:val="26"/>
        </w:rPr>
        <w:t xml:space="preserve">SMB Security</w:t>
      </w:r>
    </w:p>
    <w:p>
      <w:pPr>
        <w:pStyle w:val="ListParagraph"/>
        <w:numPr>
          <w:ilvl w:val="0"/>
          <w:numId w:val="1"/>
        </w:numPr>
        <w:spacing w:after="80"/>
      </w:pPr>
      <w:r>
        <w:rPr>
          <w:rFonts w:ascii="Calibri" w:cs="Calibri" w:eastAsia="Calibri" w:hAnsi="Calibri"/>
          <w:sz w:val="22"/>
          <w:szCs w:val="22"/>
        </w:rPr>
        <w:t xml:space="preserve">Disable anonymous/guest access to shares that don't require it.</w:t>
      </w:r>
    </w:p>
    <w:p>
      <w:pPr>
        <w:pStyle w:val="ListParagraph"/>
        <w:numPr>
          <w:ilvl w:val="0"/>
          <w:numId w:val="1"/>
        </w:numPr>
        <w:spacing w:after="80"/>
      </w:pPr>
      <w:r>
        <w:rPr>
          <w:rFonts w:ascii="Calibri" w:cs="Calibri" w:eastAsia="Calibri" w:hAnsi="Calibri"/>
          <w:sz w:val="22"/>
          <w:szCs w:val="22"/>
        </w:rPr>
        <w:t xml:space="preserve">Apply least-privilege share and NTFS permissions; remove unnecessary writable shares.</w:t>
      </w:r>
    </w:p>
    <w:p>
      <w:pPr>
        <w:pStyle w:val="ListParagraph"/>
        <w:numPr>
          <w:ilvl w:val="0"/>
          <w:numId w:val="1"/>
        </w:numPr>
        <w:spacing w:after="80"/>
      </w:pPr>
      <w:r>
        <w:rPr>
          <w:rFonts w:ascii="Calibri" w:cs="Calibri" w:eastAsia="Calibri" w:hAnsi="Calibri"/>
          <w:sz w:val="22"/>
          <w:szCs w:val="22"/>
        </w:rPr>
        <w:t xml:space="preserve">Monitor and alert on unexpected file writes to shared directories.</w:t>
      </w:r>
    </w:p>
    <w:p>
      <w:pPr>
        <w:pStyle w:val="Heading2"/>
        <w:spacing w:after="160" w:before="320"/>
      </w:pPr>
      <w:r>
        <w:rPr>
          <w:rFonts w:ascii="Calibri" w:cs="Calibri" w:eastAsia="Calibri" w:hAnsi="Calibri"/>
          <w:b/>
          <w:bCs/>
          <w:color w:val="1F4E79"/>
          <w:sz w:val="26"/>
          <w:szCs w:val="26"/>
        </w:rPr>
        <w:t xml:space="preserve">Credential Protection</w:t>
      </w:r>
    </w:p>
    <w:p>
      <w:pPr>
        <w:pStyle w:val="ListParagraph"/>
        <w:numPr>
          <w:ilvl w:val="0"/>
          <w:numId w:val="1"/>
        </w:numPr>
        <w:spacing w:after="80"/>
      </w:pPr>
      <w:r>
        <w:rPr>
          <w:rFonts w:ascii="Calibri" w:cs="Calibri" w:eastAsia="Calibri" w:hAnsi="Calibri"/>
          <w:sz w:val="22"/>
          <w:szCs w:val="22"/>
        </w:rPr>
        <w:t xml:space="preserve">Never store credentials using reversible encoding; use proper hashing (for verification) or a secrets manager (for values that must be retrieved).</w:t>
      </w:r>
    </w:p>
    <w:p>
      <w:pPr>
        <w:pStyle w:val="ListParagraph"/>
        <w:numPr>
          <w:ilvl w:val="0"/>
          <w:numId w:val="1"/>
        </w:numPr>
        <w:spacing w:after="80"/>
      </w:pPr>
      <w:r>
        <w:rPr>
          <w:rFonts w:ascii="Calibri" w:cs="Calibri" w:eastAsia="Calibri" w:hAnsi="Calibri"/>
          <w:sz w:val="22"/>
          <w:szCs w:val="22"/>
        </w:rPr>
        <w:t xml:space="preserve">Rotate any credentials that were exposed.</w:t>
      </w:r>
    </w:p>
    <w:p>
      <w:pPr>
        <w:pStyle w:val="Heading2"/>
        <w:spacing w:after="160" w:before="320"/>
      </w:pPr>
      <w:r>
        <w:rPr>
          <w:rFonts w:ascii="Calibri" w:cs="Calibri" w:eastAsia="Calibri" w:hAnsi="Calibri"/>
          <w:b/>
          <w:bCs/>
          <w:color w:val="1F4E79"/>
          <w:sz w:val="26"/>
          <w:szCs w:val="26"/>
        </w:rPr>
        <w:t xml:space="preserve">File Upload / Web Root Security</w:t>
      </w:r>
    </w:p>
    <w:p>
      <w:pPr>
        <w:pStyle w:val="ListParagraph"/>
        <w:numPr>
          <w:ilvl w:val="0"/>
          <w:numId w:val="1"/>
        </w:numPr>
        <w:spacing w:after="80"/>
      </w:pPr>
      <w:r>
        <w:rPr>
          <w:rFonts w:ascii="Calibri" w:cs="Calibri" w:eastAsia="Calibri" w:hAnsi="Calibri"/>
          <w:sz w:val="22"/>
          <w:szCs w:val="22"/>
        </w:rPr>
        <w:t xml:space="preserve">Never back a web-executable directory with a network share writable by low-privileged or anonymous users.</w:t>
      </w:r>
    </w:p>
    <w:p>
      <w:pPr>
        <w:pStyle w:val="ListParagraph"/>
        <w:numPr>
          <w:ilvl w:val="0"/>
          <w:numId w:val="1"/>
        </w:numPr>
        <w:spacing w:after="80"/>
      </w:pPr>
      <w:r>
        <w:rPr>
          <w:rFonts w:ascii="Calibri" w:cs="Calibri" w:eastAsia="Calibri" w:hAnsi="Calibri"/>
          <w:sz w:val="22"/>
          <w:szCs w:val="22"/>
        </w:rPr>
        <w:t xml:space="preserve">Separate file storage locations from script-execution directories.</w:t>
      </w:r>
    </w:p>
    <w:p>
      <w:pPr>
        <w:pStyle w:val="ListParagraph"/>
        <w:numPr>
          <w:ilvl w:val="0"/>
          <w:numId w:val="1"/>
        </w:numPr>
        <w:spacing w:after="80"/>
      </w:pPr>
      <w:r>
        <w:rPr>
          <w:rFonts w:ascii="Calibri" w:cs="Calibri" w:eastAsia="Calibri" w:hAnsi="Calibri"/>
          <w:sz w:val="22"/>
          <w:szCs w:val="22"/>
        </w:rPr>
        <w:t xml:space="preserve">Restrict or disable execution of scripting extensions (.aspx, .asp, etc.) in upload-accessible paths.</w:t>
      </w:r>
    </w:p>
    <w:p>
      <w:pPr>
        <w:pStyle w:val="ListParagraph"/>
        <w:numPr>
          <w:ilvl w:val="0"/>
          <w:numId w:val="1"/>
        </w:numPr>
        <w:spacing w:after="80"/>
      </w:pPr>
      <w:r>
        <w:rPr>
          <w:rFonts w:ascii="Calibri" w:cs="Calibri" w:eastAsia="Calibri" w:hAnsi="Calibri"/>
          <w:sz w:val="22"/>
          <w:szCs w:val="22"/>
        </w:rPr>
        <w:t xml:space="preserve">Implement file type allowlists and content scanning on any upload path.</w:t>
      </w:r>
    </w:p>
    <w:p>
      <w:pPr>
        <w:pStyle w:val="Heading2"/>
        <w:spacing w:after="160" w:before="320"/>
      </w:pPr>
      <w:r>
        <w:rPr>
          <w:rFonts w:ascii="Calibri" w:cs="Calibri" w:eastAsia="Calibri" w:hAnsi="Calibri"/>
          <w:b/>
          <w:bCs/>
          <w:color w:val="1F4E79"/>
          <w:sz w:val="26"/>
          <w:szCs w:val="26"/>
        </w:rPr>
        <w:t xml:space="preserve">IIS / Application Pool Hardening</w:t>
      </w:r>
    </w:p>
    <w:p>
      <w:pPr>
        <w:pStyle w:val="ListParagraph"/>
        <w:numPr>
          <w:ilvl w:val="0"/>
          <w:numId w:val="1"/>
        </w:numPr>
        <w:spacing w:after="80"/>
      </w:pPr>
      <w:r>
        <w:rPr>
          <w:rFonts w:ascii="Calibri" w:cs="Calibri" w:eastAsia="Calibri" w:hAnsi="Calibri"/>
          <w:sz w:val="22"/>
          <w:szCs w:val="22"/>
        </w:rPr>
        <w:t xml:space="preserve">Run application pools under identities with only the privileges required for the application to function.</w:t>
      </w:r>
    </w:p>
    <w:p>
      <w:pPr>
        <w:pStyle w:val="ListParagraph"/>
        <w:numPr>
          <w:ilvl w:val="0"/>
          <w:numId w:val="1"/>
        </w:numPr>
        <w:spacing w:after="80"/>
      </w:pPr>
      <w:r>
        <w:rPr>
          <w:rFonts w:ascii="Calibri" w:cs="Calibri" w:eastAsia="Calibri" w:hAnsi="Calibri"/>
          <w:sz w:val="22"/>
          <w:szCs w:val="22"/>
        </w:rPr>
        <w:t xml:space="preserve">Remove SeImpersonatePrivilege from service accounts where not explicitly required.</w:t>
      </w:r>
    </w:p>
    <w:p>
      <w:pPr>
        <w:pStyle w:val="ListParagraph"/>
        <w:numPr>
          <w:ilvl w:val="0"/>
          <w:numId w:val="1"/>
        </w:numPr>
        <w:spacing w:after="80"/>
      </w:pPr>
      <w:r>
        <w:rPr>
          <w:rFonts w:ascii="Calibri" w:cs="Calibri" w:eastAsia="Calibri" w:hAnsi="Calibri"/>
          <w:sz w:val="22"/>
          <w:szCs w:val="22"/>
        </w:rPr>
        <w:t xml:space="preserve">Keep the Print Spooler service disabled on servers that do not need it, reducing the PrintSpoofer attack surface.</w:t>
      </w:r>
    </w:p>
    <w:p>
      <w:pPr>
        <w:pStyle w:val="ListParagraph"/>
        <w:numPr>
          <w:ilvl w:val="0"/>
          <w:numId w:val="1"/>
        </w:numPr>
        <w:spacing w:after="80"/>
      </w:pPr>
      <w:r>
        <w:rPr>
          <w:rFonts w:ascii="Calibri" w:cs="Calibri" w:eastAsia="Calibri" w:hAnsi="Calibri"/>
          <w:sz w:val="22"/>
          <w:szCs w:val="22"/>
        </w:rPr>
        <w:t xml:space="preserve">Apply current Windows security updates and monitor for known Potato-family exploitation techniques.</w:t>
      </w:r>
    </w:p>
    <w:p>
      <w:pPr>
        <w:pStyle w:val="Heading2"/>
        <w:spacing w:after="160" w:before="320"/>
      </w:pPr>
      <w:r>
        <w:rPr>
          <w:rFonts w:ascii="Calibri" w:cs="Calibri" w:eastAsia="Calibri" w:hAnsi="Calibri"/>
          <w:b/>
          <w:bCs/>
          <w:color w:val="1F4E79"/>
          <w:sz w:val="26"/>
          <w:szCs w:val="26"/>
        </w:rPr>
        <w:t xml:space="preserve">General Hardening</w:t>
      </w:r>
    </w:p>
    <w:p>
      <w:pPr>
        <w:pStyle w:val="ListParagraph"/>
        <w:numPr>
          <w:ilvl w:val="0"/>
          <w:numId w:val="1"/>
        </w:numPr>
        <w:spacing w:after="80"/>
      </w:pPr>
      <w:r>
        <w:rPr>
          <w:rFonts w:ascii="Calibri" w:cs="Calibri" w:eastAsia="Calibri" w:hAnsi="Calibri"/>
          <w:sz w:val="22"/>
          <w:szCs w:val="22"/>
        </w:rPr>
        <w:t xml:space="preserve">Periodically audit token privileges assigned to service accounts.</w:t>
      </w:r>
    </w:p>
    <w:p>
      <w:pPr>
        <w:pStyle w:val="ListParagraph"/>
        <w:numPr>
          <w:ilvl w:val="0"/>
          <w:numId w:val="1"/>
        </w:numPr>
        <w:spacing w:after="80"/>
      </w:pPr>
      <w:r>
        <w:rPr>
          <w:rFonts w:ascii="Calibri" w:cs="Calibri" w:eastAsia="Calibri" w:hAnsi="Calibri"/>
          <w:sz w:val="22"/>
          <w:szCs w:val="22"/>
        </w:rPr>
        <w:t xml:space="preserve">Apply defense-in-depth: even if one layer (e.g., the web app) is compromised, privilege separation should prevent trivial escalation to SYSTEM.</w:t>
      </w:r>
    </w:p>
    <w:p>
      <w:pPr>
        <w:pStyle w:val="Heading1"/>
        <w:pBdr>
          <w:bottom w:val="single" w:color="1F4E79" w:sz="8" w:space="4"/>
        </w:pBdr>
        <w:spacing w:after="200" w:before="400"/>
      </w:pPr>
      <w:r>
        <w:rPr>
          <w:rFonts w:ascii="Calibri" w:cs="Calibri" w:eastAsia="Calibri" w:hAnsi="Calibri"/>
          <w:b/>
          <w:bCs/>
          <w:color w:val="1F4E79"/>
          <w:sz w:val="32"/>
          <w:szCs w:val="32"/>
        </w:rPr>
        <w:t xml:space="preserve">Lessons Learned</w:t>
      </w:r>
    </w:p>
    <w:p>
      <w:pPr>
        <w:spacing w:after="160" w:line="276"/>
      </w:pPr>
      <w:r>
        <w:rPr>
          <w:rFonts w:ascii="Calibri" w:cs="Calibri" w:eastAsia="Calibri" w:hAnsi="Calibri"/>
          <w:sz w:val="22"/>
          <w:szCs w:val="22"/>
        </w:rPr>
        <w:t xml:space="preserve">This engagement is a strong illustration of how chained, individually "minor" misconfigurations can produce a critical outcome. No single CVE or zero-day was required — the path relied entirely on:</w:t>
      </w:r>
    </w:p>
    <w:p>
      <w:pPr>
        <w:pStyle w:val="ListParagraph"/>
        <w:numPr>
          <w:ilvl w:val="0"/>
          <w:numId w:val="1"/>
        </w:numPr>
        <w:spacing w:after="80"/>
      </w:pPr>
      <w:r>
        <w:rPr>
          <w:rFonts w:ascii="Calibri" w:cs="Calibri" w:eastAsia="Calibri" w:hAnsi="Calibri"/>
          <w:sz w:val="22"/>
          <w:szCs w:val="22"/>
        </w:rPr>
        <w:t xml:space="preserve">Weak SMB access controls,</w:t>
      </w:r>
    </w:p>
    <w:p>
      <w:pPr>
        <w:pStyle w:val="ListParagraph"/>
        <w:numPr>
          <w:ilvl w:val="0"/>
          <w:numId w:val="1"/>
        </w:numPr>
        <w:spacing w:after="80"/>
      </w:pPr>
      <w:r>
        <w:rPr>
          <w:rFonts w:ascii="Calibri" w:cs="Calibri" w:eastAsia="Calibri" w:hAnsi="Calibri"/>
          <w:sz w:val="22"/>
          <w:szCs w:val="22"/>
        </w:rPr>
        <w:t xml:space="preserve">Poor credential storage practices,</w:t>
      </w:r>
    </w:p>
    <w:p>
      <w:pPr>
        <w:pStyle w:val="ListParagraph"/>
        <w:numPr>
          <w:ilvl w:val="0"/>
          <w:numId w:val="1"/>
        </w:numPr>
        <w:spacing w:after="80"/>
      </w:pPr>
      <w:r>
        <w:rPr>
          <w:rFonts w:ascii="Calibri" w:cs="Calibri" w:eastAsia="Calibri" w:hAnsi="Calibri"/>
          <w:sz w:val="22"/>
          <w:szCs w:val="22"/>
        </w:rPr>
        <w:t xml:space="preserve">An overlooked secondary web service,</w:t>
      </w:r>
    </w:p>
    <w:p>
      <w:pPr>
        <w:pStyle w:val="ListParagraph"/>
        <w:numPr>
          <w:ilvl w:val="0"/>
          <w:numId w:val="1"/>
        </w:numPr>
        <w:spacing w:after="80"/>
      </w:pPr>
      <w:r>
        <w:rPr>
          <w:rFonts w:ascii="Calibri" w:cs="Calibri" w:eastAsia="Calibri" w:hAnsi="Calibri"/>
          <w:sz w:val="22"/>
          <w:szCs w:val="22"/>
        </w:rPr>
        <w:t xml:space="preserve">A dangerous share-to-webroot mapping, and</w:t>
      </w:r>
    </w:p>
    <w:p>
      <w:pPr>
        <w:pStyle w:val="ListParagraph"/>
        <w:numPr>
          <w:ilvl w:val="0"/>
          <w:numId w:val="1"/>
        </w:numPr>
        <w:spacing w:after="80"/>
      </w:pPr>
      <w:r>
        <w:rPr>
          <w:rFonts w:ascii="Calibri" w:cs="Calibri" w:eastAsia="Calibri" w:hAnsi="Calibri"/>
          <w:sz w:val="22"/>
          <w:szCs w:val="22"/>
        </w:rPr>
        <w:t xml:space="preserve">Excess default privileges on a service account.</w:t>
      </w:r>
    </w:p>
    <w:p>
      <w:pPr>
        <w:spacing w:after="160" w:line="276"/>
      </w:pPr>
      <w:r>
        <w:rPr>
          <w:rFonts w:ascii="Calibri" w:cs="Calibri" w:eastAsia="Calibri" w:hAnsi="Calibri"/>
          <w:sz w:val="22"/>
          <w:szCs w:val="22"/>
        </w:rPr>
        <w:t xml:space="preserve">It reinforces the value of thorough, methodical enumeration across every exposed service — including secondary, high-port, and easily overlooked instances — rather than focusing only on the most obvious entry point.</w:t>
      </w:r>
    </w:p>
    <w:p>
      <w:pPr>
        <w:pStyle w:val="Heading1"/>
        <w:pBdr>
          <w:bottom w:val="single" w:color="1F4E79" w:sz="8" w:space="4"/>
        </w:pBdr>
        <w:spacing w:after="200" w:before="400"/>
      </w:pPr>
      <w:r>
        <w:rPr>
          <w:rFonts w:ascii="Calibri" w:cs="Calibri" w:eastAsia="Calibri" w:hAnsi="Calibri"/>
          <w:b/>
          <w:bCs/>
          <w:color w:val="1F4E79"/>
          <w:sz w:val="32"/>
          <w:szCs w:val="32"/>
        </w:rPr>
        <w:t xml:space="preserve">Conclusion</w:t>
      </w:r>
    </w:p>
    <w:p>
      <w:pPr>
        <w:spacing w:after="160" w:line="276"/>
      </w:pPr>
      <w:r>
        <w:rPr>
          <w:rFonts w:ascii="Calibri" w:cs="Calibri" w:eastAsia="Calibri" w:hAnsi="Calibri"/>
          <w:sz w:val="22"/>
          <w:szCs w:val="22"/>
        </w:rPr>
        <w:t xml:space="preserve">The Relevant target was fully compromised, progressing from unauthenticated SMB enumeration to NT AUTHORITY\SYSTEM execution. The root cause was a chain of configuration weaknesses rather than a single software vulnerability: an anonymously writable SMB share that mapped directly onto an executable IIS web directory, combined with an application pool identity holding SeImpersonatePrivilege. Remediating any single link in this chain — restricting the share, separating web-execution from shared storage, or reducing service account privileges — would have broken the attack path. Both user.txt and root.txt flags were successfully captured, confirming complete compromise of the host.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Relevant — Penetration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2026-08-30T10:51:01.954Z</dcterms:created>
  <dcterms:modified xsi:type="dcterms:W3CDTF">2026-08-30T10:51:01.969Z</dcterms:modified>
</cp:coreProperties>
</file>

<file path=docProps/custom.xml><?xml version="1.0" encoding="utf-8"?>
<Properties xmlns="http://schemas.openxmlformats.org/officeDocument/2006/custom-properties" xmlns:vt="http://schemas.openxmlformats.org/officeDocument/2006/docPropsVTypes"/>
</file>