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3.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4.xml" ContentType="application/vnd.openxmlformats-officedocument.themeOverrid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929" w:type="dxa"/>
        <w:tblInd w:w="-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85"/>
        <w:gridCol w:w="435"/>
        <w:gridCol w:w="7009"/>
      </w:tblGrid>
      <w:tr w:rsidR="00833716" w:rsidRPr="00ED50E1" w14:paraId="63F8C983" w14:textId="77777777">
        <w:trPr>
          <w:cantSplit/>
          <w:trHeight w:val="7553"/>
        </w:trPr>
        <w:tc>
          <w:tcPr>
            <w:tcW w:w="3485" w:type="dxa"/>
          </w:tcPr>
          <w:p w14:paraId="27375DE8" w14:textId="77777777" w:rsidR="00833716" w:rsidRDefault="00343CE3">
            <w:pPr>
              <w:spacing w:after="0" w:line="240" w:lineRule="auto"/>
              <w:rPr>
                <w:rFonts w:cs="Times New Roman"/>
                <w:b/>
                <w:sz w:val="16"/>
                <w:szCs w:val="16"/>
              </w:rPr>
            </w:pPr>
            <w:r>
              <w:rPr>
                <w:rFonts w:cs="Times New Roman"/>
                <w:b/>
                <w:sz w:val="16"/>
                <w:szCs w:val="16"/>
              </w:rPr>
              <w:t xml:space="preserve">· </w:t>
            </w:r>
          </w:p>
          <w:p w14:paraId="121A5165" w14:textId="77777777" w:rsidR="00833716" w:rsidRDefault="00343CE3">
            <w:pPr>
              <w:spacing w:after="0" w:line="240" w:lineRule="auto"/>
              <w:rPr>
                <w:rFonts w:cs="Times New Roman"/>
                <w:sz w:val="24"/>
                <w:szCs w:val="24"/>
              </w:rPr>
            </w:pPr>
            <w:r>
              <w:rPr>
                <w:rFonts w:cs="Times New Roman"/>
                <w:sz w:val="24"/>
                <w:szCs w:val="24"/>
              </w:rPr>
              <w:t>财富研究部</w:t>
            </w:r>
          </w:p>
          <w:p w14:paraId="16B14771" w14:textId="77777777" w:rsidR="00833716" w:rsidRDefault="00833716">
            <w:pPr>
              <w:spacing w:after="0" w:line="240" w:lineRule="auto"/>
              <w:rPr>
                <w:rFonts w:cs="Times New Roman"/>
                <w:sz w:val="16"/>
                <w:szCs w:val="16"/>
              </w:rPr>
            </w:pPr>
          </w:p>
          <w:p w14:paraId="2A0E72EC" w14:textId="77777777" w:rsidR="00833716" w:rsidRDefault="00343CE3">
            <w:pPr>
              <w:spacing w:after="0" w:line="240" w:lineRule="auto"/>
              <w:rPr>
                <w:rFonts w:cs="Times New Roman"/>
                <w:sz w:val="16"/>
                <w:szCs w:val="16"/>
              </w:rPr>
            </w:pPr>
            <w:r>
              <w:rPr>
                <w:rFonts w:cs="Times New Roman"/>
                <w:sz w:val="16"/>
                <w:szCs w:val="16"/>
              </w:rPr>
              <w:t>广发证券</w:t>
            </w:r>
            <w:r>
              <w:rPr>
                <w:rFonts w:cs="Times New Roman"/>
                <w:sz w:val="16"/>
                <w:szCs w:val="16"/>
              </w:rPr>
              <w:t xml:space="preserve"> (</w:t>
            </w:r>
            <w:r>
              <w:rPr>
                <w:rFonts w:cs="Times New Roman"/>
                <w:sz w:val="16"/>
                <w:szCs w:val="16"/>
              </w:rPr>
              <w:t>香港</w:t>
            </w:r>
            <w:r>
              <w:rPr>
                <w:rFonts w:cs="Times New Roman"/>
                <w:sz w:val="16"/>
                <w:szCs w:val="16"/>
              </w:rPr>
              <w:t xml:space="preserve">) </w:t>
            </w:r>
            <w:r>
              <w:rPr>
                <w:rFonts w:cs="Times New Roman"/>
                <w:sz w:val="16"/>
                <w:szCs w:val="16"/>
              </w:rPr>
              <w:t>经纪有限公司</w:t>
            </w:r>
          </w:p>
          <w:p w14:paraId="075B9C68" w14:textId="0FE9E302" w:rsidR="00833716" w:rsidRDefault="00295704">
            <w:pPr>
              <w:spacing w:after="0" w:line="240" w:lineRule="auto"/>
              <w:rPr>
                <w:rFonts w:cs="Times New Roman"/>
                <w:sz w:val="16"/>
                <w:szCs w:val="16"/>
              </w:rPr>
            </w:pPr>
            <w:r w:rsidRPr="00295704">
              <w:rPr>
                <w:rFonts w:cs="Times New Roman" w:hint="eastAsia"/>
                <w:sz w:val="16"/>
                <w:szCs w:val="16"/>
              </w:rPr>
              <w:t>香港德辅道中</w:t>
            </w:r>
            <w:r w:rsidRPr="00295704">
              <w:rPr>
                <w:rFonts w:cs="Times New Roman" w:hint="eastAsia"/>
                <w:sz w:val="16"/>
                <w:szCs w:val="16"/>
              </w:rPr>
              <w:t xml:space="preserve"> 189 </w:t>
            </w:r>
            <w:r w:rsidRPr="00295704">
              <w:rPr>
                <w:rFonts w:cs="Times New Roman" w:hint="eastAsia"/>
                <w:sz w:val="16"/>
                <w:szCs w:val="16"/>
              </w:rPr>
              <w:t>号</w:t>
            </w:r>
          </w:p>
          <w:p w14:paraId="608BFEFF" w14:textId="7BE6D411" w:rsidR="00833716" w:rsidRDefault="00295704">
            <w:pPr>
              <w:spacing w:after="0" w:line="240" w:lineRule="auto"/>
              <w:rPr>
                <w:rFonts w:cs="Times New Roman"/>
                <w:sz w:val="16"/>
                <w:szCs w:val="16"/>
              </w:rPr>
            </w:pPr>
            <w:r w:rsidRPr="00295704">
              <w:rPr>
                <w:rFonts w:cs="Times New Roman" w:hint="eastAsia"/>
                <w:sz w:val="16"/>
                <w:szCs w:val="16"/>
              </w:rPr>
              <w:t>李宝椿大厦</w:t>
            </w:r>
            <w:r w:rsidRPr="00295704">
              <w:rPr>
                <w:rFonts w:cs="Times New Roman" w:hint="eastAsia"/>
                <w:sz w:val="16"/>
                <w:szCs w:val="16"/>
              </w:rPr>
              <w:t xml:space="preserve"> 29-30 </w:t>
            </w:r>
            <w:r w:rsidRPr="00295704">
              <w:rPr>
                <w:rFonts w:cs="Times New Roman" w:hint="eastAsia"/>
                <w:sz w:val="16"/>
                <w:szCs w:val="16"/>
              </w:rPr>
              <w:t>楼</w:t>
            </w:r>
          </w:p>
          <w:p w14:paraId="75C265D5" w14:textId="77777777" w:rsidR="00833716" w:rsidRDefault="00833716">
            <w:pPr>
              <w:spacing w:after="0" w:line="240" w:lineRule="auto"/>
              <w:rPr>
                <w:rFonts w:cs="Times New Roman"/>
                <w:sz w:val="16"/>
                <w:szCs w:val="16"/>
              </w:rPr>
            </w:pPr>
          </w:p>
          <w:p w14:paraId="3DC99D7B" w14:textId="77777777" w:rsidR="00833716" w:rsidRDefault="00833716">
            <w:pPr>
              <w:spacing w:after="0" w:line="240" w:lineRule="auto"/>
              <w:rPr>
                <w:rFonts w:cs="Times New Roman"/>
                <w:sz w:val="16"/>
                <w:szCs w:val="16"/>
              </w:rPr>
            </w:pPr>
          </w:p>
          <w:p w14:paraId="7AAB5052" w14:textId="77777777" w:rsidR="00BF54CD" w:rsidRPr="0085244C" w:rsidRDefault="00BF54CD" w:rsidP="00BF54CD">
            <w:pPr>
              <w:spacing w:after="120"/>
              <w:rPr>
                <w:rFonts w:cs="Times New Roman"/>
                <w:szCs w:val="18"/>
              </w:rPr>
            </w:pPr>
            <w:r w:rsidRPr="0085244C">
              <w:rPr>
                <w:rFonts w:cs="Times New Roman"/>
                <w:szCs w:val="18"/>
              </w:rPr>
              <w:t>分析师：</w:t>
            </w:r>
            <w:r w:rsidRPr="0085244C">
              <w:rPr>
                <w:rFonts w:cs="Times New Roman" w:hint="eastAsia"/>
                <w:szCs w:val="18"/>
              </w:rPr>
              <w:t>宋平</w:t>
            </w:r>
          </w:p>
          <w:p w14:paraId="1935556C" w14:textId="77777777" w:rsidR="00BF54CD" w:rsidRPr="0085244C" w:rsidRDefault="00BF54CD" w:rsidP="00BF54CD">
            <w:pPr>
              <w:spacing w:after="120"/>
              <w:rPr>
                <w:rFonts w:cs="Times New Roman"/>
                <w:szCs w:val="18"/>
              </w:rPr>
            </w:pPr>
            <w:r w:rsidRPr="0085244C">
              <w:rPr>
                <w:noProof/>
                <w:szCs w:val="18"/>
              </w:rPr>
              <w:drawing>
                <wp:inline distT="0" distB="0" distL="0" distR="0" wp14:anchorId="11BA15C9" wp14:editId="2AE28C00">
                  <wp:extent cx="191135" cy="17970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pic:nvPicPr>
                        <pic:blipFill>
                          <a:blip r:embed="rId9">
                            <a:extLst>
                              <a:ext uri="{28A0092B-C50C-407E-A947-70E740481C1C}">
                                <a14:useLocalDpi xmlns:a14="http://schemas.microsoft.com/office/drawing/2010/main" val="0"/>
                              </a:ext>
                            </a:extLst>
                          </a:blip>
                          <a:stretch>
                            <a:fillRect/>
                          </a:stretch>
                        </pic:blipFill>
                        <pic:spPr>
                          <a:xfrm>
                            <a:off x="0" y="0"/>
                            <a:ext cx="191135" cy="179705"/>
                          </a:xfrm>
                          <a:prstGeom prst="rect">
                            <a:avLst/>
                          </a:prstGeom>
                        </pic:spPr>
                      </pic:pic>
                    </a:graphicData>
                  </a:graphic>
                </wp:inline>
              </w:drawing>
            </w:r>
            <w:r w:rsidRPr="0085244C">
              <w:rPr>
                <w:szCs w:val="18"/>
              </w:rPr>
              <w:t xml:space="preserve">     </w:t>
            </w:r>
            <w:r w:rsidRPr="0085244C">
              <w:rPr>
                <w:rFonts w:cs="Times New Roman"/>
                <w:szCs w:val="18"/>
              </w:rPr>
              <w:t>SFC NO: BNA762</w:t>
            </w:r>
          </w:p>
          <w:p w14:paraId="2E1ADEFC" w14:textId="77777777" w:rsidR="00BF54CD" w:rsidRPr="0085244C" w:rsidRDefault="00BF54CD" w:rsidP="00BF54CD">
            <w:pPr>
              <w:spacing w:after="120"/>
              <w:rPr>
                <w:rFonts w:cs="Times New Roman"/>
                <w:szCs w:val="18"/>
              </w:rPr>
            </w:pPr>
            <w:r w:rsidRPr="0085244C">
              <w:rPr>
                <w:rFonts w:cs="Times New Roman"/>
                <w:noProof/>
                <w:szCs w:val="18"/>
              </w:rPr>
              <w:drawing>
                <wp:anchor distT="0" distB="0" distL="114300" distR="114300" simplePos="0" relativeHeight="251661312" behindDoc="1" locked="0" layoutInCell="1" allowOverlap="1" wp14:anchorId="50219685" wp14:editId="339840D6">
                  <wp:simplePos x="0" y="0"/>
                  <wp:positionH relativeFrom="column">
                    <wp:posOffset>448</wp:posOffset>
                  </wp:positionH>
                  <wp:positionV relativeFrom="paragraph">
                    <wp:posOffset>292100</wp:posOffset>
                  </wp:positionV>
                  <wp:extent cx="243205" cy="185420"/>
                  <wp:effectExtent l="0" t="0" r="4445" b="5080"/>
                  <wp:wrapSquare wrapText="bothSides"/>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205" cy="185420"/>
                          </a:xfrm>
                          <a:prstGeom prst="rect">
                            <a:avLst/>
                          </a:prstGeom>
                          <a:noFill/>
                          <a:ln>
                            <a:noFill/>
                          </a:ln>
                        </pic:spPr>
                      </pic:pic>
                    </a:graphicData>
                  </a:graphic>
                  <wp14:sizeRelV relativeFrom="margin">
                    <wp14:pctHeight>0</wp14:pctHeight>
                  </wp14:sizeRelV>
                </wp:anchor>
              </w:drawing>
            </w:r>
            <w:r w:rsidRPr="0085244C">
              <w:rPr>
                <w:rFonts w:cs="Times New Roman"/>
                <w:noProof/>
                <w:szCs w:val="18"/>
              </w:rPr>
              <w:drawing>
                <wp:inline distT="0" distB="0" distL="0" distR="0" wp14:anchorId="72FC2762" wp14:editId="4E7FCC0B">
                  <wp:extent cx="225425" cy="191135"/>
                  <wp:effectExtent l="0" t="0" r="317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 cy="191135"/>
                          </a:xfrm>
                          <a:prstGeom prst="rect">
                            <a:avLst/>
                          </a:prstGeom>
                          <a:noFill/>
                          <a:ln>
                            <a:noFill/>
                          </a:ln>
                        </pic:spPr>
                      </pic:pic>
                    </a:graphicData>
                  </a:graphic>
                </wp:inline>
              </w:drawing>
            </w:r>
            <w:r w:rsidRPr="0085244C">
              <w:rPr>
                <w:rFonts w:cs="Times New Roman"/>
                <w:szCs w:val="18"/>
              </w:rPr>
              <w:t xml:space="preserve">   </w:t>
            </w:r>
            <w:r w:rsidR="006D1F41" w:rsidRPr="0085244C">
              <w:rPr>
                <w:rFonts w:cs="Times New Roman"/>
                <w:szCs w:val="18"/>
              </w:rPr>
              <w:t>0852</w:t>
            </w:r>
            <w:r w:rsidR="007C1352">
              <w:rPr>
                <w:rFonts w:cs="Times New Roman"/>
                <w:szCs w:val="18"/>
              </w:rPr>
              <w:t>-9502 1841</w:t>
            </w:r>
          </w:p>
          <w:p w14:paraId="57E93FB7" w14:textId="77777777" w:rsidR="00BF54CD" w:rsidRPr="0085244C" w:rsidRDefault="00000000" w:rsidP="00BF54CD">
            <w:pPr>
              <w:spacing w:after="120"/>
              <w:rPr>
                <w:rFonts w:eastAsia="Calibri"/>
                <w:szCs w:val="18"/>
              </w:rPr>
            </w:pPr>
            <w:hyperlink r:id="rId12" w:history="1">
              <w:r w:rsidR="00BF54CD" w:rsidRPr="0085244C">
                <w:rPr>
                  <w:rStyle w:val="Hyperlink"/>
                  <w:rFonts w:eastAsia="Calibri"/>
                  <w:szCs w:val="18"/>
                </w:rPr>
                <w:t>songping@gfgroup.com.hk</w:t>
              </w:r>
            </w:hyperlink>
          </w:p>
          <w:p w14:paraId="2A3E24FA" w14:textId="64C4277D" w:rsidR="00BF54CD" w:rsidRPr="00D50897" w:rsidRDefault="00BF54CD" w:rsidP="00BF54CD">
            <w:pPr>
              <w:spacing w:after="120"/>
              <w:rPr>
                <w:rStyle w:val="Hyperlink"/>
                <w:rFonts w:cs="Times New Roman"/>
                <w:sz w:val="20"/>
                <w:szCs w:val="20"/>
              </w:rPr>
            </w:pPr>
          </w:p>
          <w:p w14:paraId="2D1D47F7" w14:textId="1EE80F8E" w:rsidR="00BF54CD" w:rsidRDefault="008D15C3" w:rsidP="00BF54CD">
            <w:pPr>
              <w:snapToGrid w:val="0"/>
              <w:spacing w:after="0" w:line="276" w:lineRule="auto"/>
              <w:rPr>
                <w:rFonts w:cs="Times New Roman"/>
                <w:sz w:val="16"/>
                <w:szCs w:val="16"/>
              </w:rPr>
            </w:pPr>
            <w:r>
              <w:rPr>
                <w:noProof/>
              </w:rPr>
              <mc:AlternateContent>
                <mc:Choice Requires="wps">
                  <w:drawing>
                    <wp:anchor distT="0" distB="0" distL="114300" distR="114300" simplePos="0" relativeHeight="251659264" behindDoc="0" locked="0" layoutInCell="1" allowOverlap="1" wp14:anchorId="17C39C23" wp14:editId="3EED03E6">
                      <wp:simplePos x="0" y="0"/>
                      <wp:positionH relativeFrom="column">
                        <wp:posOffset>-56905</wp:posOffset>
                      </wp:positionH>
                      <wp:positionV relativeFrom="page">
                        <wp:posOffset>2365239</wp:posOffset>
                      </wp:positionV>
                      <wp:extent cx="2276475" cy="30293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276475" cy="3029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566" w:type="dxa"/>
                                    <w:jc w:val="center"/>
                                    <w:tblLayout w:type="fixed"/>
                                    <w:tblCellMar>
                                      <w:left w:w="0" w:type="dxa"/>
                                      <w:right w:w="0" w:type="dxa"/>
                                    </w:tblCellMar>
                                    <w:tblLook w:val="04A0" w:firstRow="1" w:lastRow="0" w:firstColumn="1" w:lastColumn="0" w:noHBand="0" w:noVBand="1"/>
                                  </w:tblPr>
                                  <w:tblGrid>
                                    <w:gridCol w:w="3566"/>
                                  </w:tblGrid>
                                  <w:tr w:rsidR="0014147F" w14:paraId="33327C5C" w14:textId="77777777">
                                    <w:trPr>
                                      <w:jc w:val="center"/>
                                    </w:trPr>
                                    <w:tc>
                                      <w:tcPr>
                                        <w:tcW w:w="3566" w:type="dxa"/>
                                        <w:tcBorders>
                                          <w:bottom w:val="single" w:sz="2" w:space="0" w:color="1F4E79" w:themeColor="accent1" w:themeShade="80"/>
                                        </w:tcBorders>
                                        <w:tcMar>
                                          <w:top w:w="0" w:type="dxa"/>
                                          <w:left w:w="0" w:type="dxa"/>
                                          <w:bottom w:w="0" w:type="dxa"/>
                                          <w:right w:w="0" w:type="dxa"/>
                                        </w:tcMar>
                                      </w:tcPr>
                                      <w:p w14:paraId="25A12C70" w14:textId="77777777" w:rsidR="0014147F" w:rsidRDefault="0014147F">
                                        <w:pPr>
                                          <w:spacing w:after="0" w:line="240" w:lineRule="auto"/>
                                          <w:ind w:firstLineChars="50" w:firstLine="80"/>
                                          <w:rPr>
                                            <w:sz w:val="16"/>
                                            <w:szCs w:val="16"/>
                                          </w:rPr>
                                        </w:pPr>
                                        <w:r>
                                          <w:rPr>
                                            <w:rFonts w:hint="eastAsia"/>
                                            <w:sz w:val="16"/>
                                            <w:szCs w:val="16"/>
                                          </w:rPr>
                                          <w:t>股价表现</w:t>
                                        </w:r>
                                      </w:p>
                                    </w:tc>
                                  </w:tr>
                                  <w:tr w:rsidR="0014147F" w14:paraId="63E911BA" w14:textId="77777777">
                                    <w:trPr>
                                      <w:jc w:val="center"/>
                                    </w:trPr>
                                    <w:tc>
                                      <w:tcPr>
                                        <w:tcW w:w="3566" w:type="dxa"/>
                                        <w:tcBorders>
                                          <w:top w:val="single" w:sz="2" w:space="0" w:color="1F4E79" w:themeColor="accent1" w:themeShade="80"/>
                                          <w:bottom w:val="single" w:sz="2" w:space="0" w:color="1F4E79" w:themeColor="accent1" w:themeShade="80"/>
                                        </w:tcBorders>
                                        <w:tcMar>
                                          <w:top w:w="58" w:type="dxa"/>
                                          <w:left w:w="58" w:type="dxa"/>
                                          <w:bottom w:w="58" w:type="dxa"/>
                                          <w:right w:w="58" w:type="dxa"/>
                                        </w:tcMar>
                                        <w:vAlign w:val="center"/>
                                      </w:tcPr>
                                      <w:p w14:paraId="32D9ADB0" w14:textId="77777777" w:rsidR="0014147F" w:rsidRDefault="0014147F">
                                        <w:pPr>
                                          <w:spacing w:after="0" w:line="240" w:lineRule="auto"/>
                                          <w:rPr>
                                            <w:sz w:val="16"/>
                                            <w:szCs w:val="16"/>
                                          </w:rPr>
                                        </w:pPr>
                                        <w:r>
                                          <w:rPr>
                                            <w:noProof/>
                                          </w:rPr>
                                          <w:drawing>
                                            <wp:inline distT="0" distB="0" distL="0" distR="0" wp14:anchorId="3CE1553C" wp14:editId="3967EFB8">
                                              <wp:extent cx="2190750" cy="1628775"/>
                                              <wp:effectExtent l="0" t="0" r="0" b="0"/>
                                              <wp:docPr id="24"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14147F" w14:paraId="38506BA7" w14:textId="77777777">
                                    <w:trPr>
                                      <w:jc w:val="center"/>
                                    </w:trPr>
                                    <w:tc>
                                      <w:tcPr>
                                        <w:tcW w:w="3566" w:type="dxa"/>
                                        <w:tcBorders>
                                          <w:top w:val="single" w:sz="2" w:space="0" w:color="1F4E79" w:themeColor="accent1" w:themeShade="80"/>
                                        </w:tcBorders>
                                        <w:tcMar>
                                          <w:top w:w="0" w:type="dxa"/>
                                          <w:left w:w="0" w:type="dxa"/>
                                          <w:bottom w:w="0" w:type="dxa"/>
                                          <w:right w:w="0" w:type="dxa"/>
                                        </w:tcMar>
                                      </w:tcPr>
                                      <w:p w14:paraId="7F59EFC6" w14:textId="77777777" w:rsidR="0014147F" w:rsidRDefault="0014147F">
                                        <w:pPr>
                                          <w:spacing w:after="0" w:line="240" w:lineRule="auto"/>
                                          <w:ind w:firstLineChars="50" w:firstLine="80"/>
                                          <w:rPr>
                                            <w:sz w:val="16"/>
                                            <w:szCs w:val="16"/>
                                          </w:rPr>
                                        </w:pPr>
                                        <w:r>
                                          <w:rPr>
                                            <w:sz w:val="16"/>
                                            <w:szCs w:val="16"/>
                                          </w:rPr>
                                          <w:t>资料来源</w:t>
                                        </w:r>
                                        <w:r>
                                          <w:rPr>
                                            <w:sz w:val="16"/>
                                            <w:szCs w:val="16"/>
                                          </w:rPr>
                                          <w:t xml:space="preserve">: </w:t>
                                        </w:r>
                                        <w:r>
                                          <w:rPr>
                                            <w:sz w:val="16"/>
                                            <w:szCs w:val="16"/>
                                          </w:rPr>
                                          <w:t>彭博</w:t>
                                        </w:r>
                                      </w:p>
                                    </w:tc>
                                  </w:tr>
                                </w:tbl>
                                <w:p w14:paraId="7FC1CCDD" w14:textId="77777777" w:rsidR="0014147F" w:rsidRDefault="0014147F">
                                  <w:pPr>
                                    <w:rPr>
                                      <w:rFonts w:cs="Times New Roman"/>
                                      <w:sz w:val="16"/>
                                      <w:szCs w:val="16"/>
                                    </w:rPr>
                                  </w:pPr>
                                </w:p>
                                <w:tbl>
                                  <w:tblPr>
                                    <w:tblStyle w:val="1"/>
                                    <w:tblW w:w="3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4"/>
                                    <w:gridCol w:w="2475"/>
                                  </w:tblGrid>
                                  <w:tr w:rsidR="0014147F" w14:paraId="294A4A38" w14:textId="77777777">
                                    <w:trPr>
                                      <w:trHeight w:val="181"/>
                                    </w:trPr>
                                    <w:tc>
                                      <w:tcPr>
                                        <w:tcW w:w="1004" w:type="dxa"/>
                                        <w:tcBorders>
                                          <w:top w:val="single" w:sz="6" w:space="0" w:color="44546A" w:themeColor="text2"/>
                                          <w:bottom w:val="single" w:sz="8" w:space="0" w:color="1F4E79" w:themeColor="accent1" w:themeShade="80"/>
                                        </w:tcBorders>
                                        <w:shd w:val="clear" w:color="auto" w:fill="9CC2E5" w:themeFill="accent1" w:themeFillTint="99"/>
                                        <w:vAlign w:val="center"/>
                                      </w:tcPr>
                                      <w:p w14:paraId="48DD3C70" w14:textId="77777777" w:rsidR="0014147F" w:rsidRDefault="0014147F">
                                        <w:pPr>
                                          <w:snapToGrid w:val="0"/>
                                          <w:spacing w:after="0" w:line="276" w:lineRule="auto"/>
                                          <w:jc w:val="both"/>
                                          <w:rPr>
                                            <w:rFonts w:cs="Times New Roman"/>
                                            <w:sz w:val="16"/>
                                            <w:szCs w:val="16"/>
                                          </w:rPr>
                                        </w:pPr>
                                        <w:r>
                                          <w:rPr>
                                            <w:rFonts w:cstheme="minorHAnsi" w:hint="eastAsia"/>
                                            <w:b/>
                                            <w:color w:val="1F4E79" w:themeColor="accent1" w:themeShade="80"/>
                                            <w:szCs w:val="18"/>
                                          </w:rPr>
                                          <w:t>公司估值</w:t>
                                        </w:r>
                                      </w:p>
                                    </w:tc>
                                    <w:tc>
                                      <w:tcPr>
                                        <w:tcW w:w="2475" w:type="dxa"/>
                                        <w:tcBorders>
                                          <w:top w:val="single" w:sz="6" w:space="0" w:color="44546A" w:themeColor="text2"/>
                                          <w:bottom w:val="single" w:sz="8" w:space="0" w:color="1F4E79" w:themeColor="accent1" w:themeShade="80"/>
                                        </w:tcBorders>
                                        <w:shd w:val="clear" w:color="auto" w:fill="9CC2E5" w:themeFill="accent1" w:themeFillTint="99"/>
                                        <w:vAlign w:val="center"/>
                                      </w:tcPr>
                                      <w:p w14:paraId="6A646A2E" w14:textId="77777777" w:rsidR="0014147F" w:rsidRDefault="0014147F">
                                        <w:pPr>
                                          <w:snapToGrid w:val="0"/>
                                          <w:spacing w:after="0" w:line="276" w:lineRule="auto"/>
                                          <w:jc w:val="center"/>
                                          <w:rPr>
                                            <w:rFonts w:cs="Times New Roman"/>
                                            <w:sz w:val="16"/>
                                            <w:szCs w:val="16"/>
                                          </w:rPr>
                                        </w:pPr>
                                      </w:p>
                                    </w:tc>
                                  </w:tr>
                                  <w:tr w:rsidR="0014147F" w14:paraId="20BA1083" w14:textId="77777777">
                                    <w:trPr>
                                      <w:trHeight w:val="26"/>
                                    </w:trPr>
                                    <w:tc>
                                      <w:tcPr>
                                        <w:tcW w:w="1004" w:type="dxa"/>
                                        <w:vAlign w:val="center"/>
                                      </w:tcPr>
                                      <w:p w14:paraId="220E0237" w14:textId="77777777" w:rsidR="0014147F" w:rsidRDefault="0014147F">
                                        <w:pPr>
                                          <w:snapToGrid w:val="0"/>
                                          <w:spacing w:after="0" w:line="276" w:lineRule="auto"/>
                                          <w:jc w:val="both"/>
                                          <w:rPr>
                                            <w:rFonts w:cs="Times New Roman"/>
                                            <w:sz w:val="16"/>
                                            <w:szCs w:val="16"/>
                                          </w:rPr>
                                        </w:pPr>
                                        <w:r>
                                          <w:rPr>
                                            <w:rFonts w:cs="Times New Roman" w:hint="eastAsia"/>
                                            <w:sz w:val="16"/>
                                            <w:szCs w:val="16"/>
                                          </w:rPr>
                                          <w:t>当前股价</w:t>
                                        </w:r>
                                      </w:p>
                                    </w:tc>
                                    <w:tc>
                                      <w:tcPr>
                                        <w:tcW w:w="2475" w:type="dxa"/>
                                        <w:vAlign w:val="center"/>
                                      </w:tcPr>
                                      <w:p w14:paraId="0E77B07B" w14:textId="67168A5A" w:rsidR="0014147F" w:rsidRPr="00A9656A" w:rsidRDefault="0014147F" w:rsidP="00955819">
                                        <w:pPr>
                                          <w:snapToGrid w:val="0"/>
                                          <w:spacing w:after="0" w:line="276" w:lineRule="auto"/>
                                          <w:jc w:val="center"/>
                                          <w:rPr>
                                            <w:rFonts w:cs="Times New Roman"/>
                                            <w:sz w:val="16"/>
                                            <w:szCs w:val="16"/>
                                          </w:rPr>
                                        </w:pPr>
                                        <w:r>
                                          <w:rPr>
                                            <w:rFonts w:cs="Times New Roman"/>
                                            <w:sz w:val="16"/>
                                            <w:szCs w:val="16"/>
                                          </w:rPr>
                                          <w:t>HKD 6</w:t>
                                        </w:r>
                                        <w:r w:rsidR="001F41B3">
                                          <w:rPr>
                                            <w:rFonts w:cs="Times New Roman"/>
                                            <w:sz w:val="16"/>
                                            <w:szCs w:val="16"/>
                                          </w:rPr>
                                          <w:t>7</w:t>
                                        </w:r>
                                        <w:r>
                                          <w:rPr>
                                            <w:rFonts w:cs="Times New Roman"/>
                                            <w:sz w:val="16"/>
                                            <w:szCs w:val="16"/>
                                          </w:rPr>
                                          <w:t>.</w:t>
                                        </w:r>
                                        <w:r w:rsidR="001F41B3">
                                          <w:rPr>
                                            <w:rFonts w:cs="Times New Roman"/>
                                            <w:sz w:val="16"/>
                                            <w:szCs w:val="16"/>
                                          </w:rPr>
                                          <w:t>4</w:t>
                                        </w:r>
                                      </w:p>
                                    </w:tc>
                                  </w:tr>
                                  <w:tr w:rsidR="0014147F" w14:paraId="733BB9F0" w14:textId="77777777">
                                    <w:trPr>
                                      <w:trHeight w:val="80"/>
                                    </w:trPr>
                                    <w:tc>
                                      <w:tcPr>
                                        <w:tcW w:w="1004" w:type="dxa"/>
                                        <w:vAlign w:val="center"/>
                                      </w:tcPr>
                                      <w:p w14:paraId="1D18436A" w14:textId="77777777" w:rsidR="0014147F" w:rsidRDefault="0014147F">
                                        <w:pPr>
                                          <w:snapToGrid w:val="0"/>
                                          <w:spacing w:after="0" w:line="276" w:lineRule="auto"/>
                                          <w:jc w:val="both"/>
                                          <w:rPr>
                                            <w:rFonts w:cs="Times New Roman"/>
                                            <w:sz w:val="16"/>
                                            <w:szCs w:val="16"/>
                                          </w:rPr>
                                        </w:pPr>
                                        <w:r>
                                          <w:rPr>
                                            <w:rFonts w:cs="Times New Roman" w:hint="eastAsia"/>
                                            <w:sz w:val="16"/>
                                            <w:szCs w:val="16"/>
                                          </w:rPr>
                                          <w:t>合理价值</w:t>
                                        </w:r>
                                      </w:p>
                                    </w:tc>
                                    <w:tc>
                                      <w:tcPr>
                                        <w:tcW w:w="2475" w:type="dxa"/>
                                        <w:vAlign w:val="center"/>
                                      </w:tcPr>
                                      <w:p w14:paraId="46DEFA78" w14:textId="1C18DAF8" w:rsidR="0014147F" w:rsidRPr="00A9656A" w:rsidRDefault="0014147F" w:rsidP="00955819">
                                        <w:pPr>
                                          <w:snapToGrid w:val="0"/>
                                          <w:spacing w:after="0" w:line="276" w:lineRule="auto"/>
                                          <w:jc w:val="center"/>
                                          <w:rPr>
                                            <w:rFonts w:cs="Times New Roman"/>
                                            <w:sz w:val="16"/>
                                            <w:szCs w:val="16"/>
                                          </w:rPr>
                                        </w:pPr>
                                        <w:r w:rsidRPr="00A9656A">
                                          <w:rPr>
                                            <w:rFonts w:cs="Times New Roman"/>
                                            <w:sz w:val="16"/>
                                            <w:szCs w:val="16"/>
                                          </w:rPr>
                                          <w:t xml:space="preserve">HKD </w:t>
                                        </w:r>
                                        <w:r>
                                          <w:rPr>
                                            <w:rFonts w:cs="Times New Roman"/>
                                            <w:sz w:val="16"/>
                                            <w:szCs w:val="16"/>
                                          </w:rPr>
                                          <w:t>7</w:t>
                                        </w:r>
                                        <w:r w:rsidR="001F41B3">
                                          <w:rPr>
                                            <w:rFonts w:cs="Times New Roman"/>
                                            <w:sz w:val="16"/>
                                            <w:szCs w:val="16"/>
                                          </w:rPr>
                                          <w:t>3</w:t>
                                        </w:r>
                                        <w:r>
                                          <w:rPr>
                                            <w:rFonts w:cs="Times New Roman"/>
                                            <w:sz w:val="16"/>
                                            <w:szCs w:val="16"/>
                                          </w:rPr>
                                          <w:t>.</w:t>
                                        </w:r>
                                        <w:r w:rsidR="001F41B3">
                                          <w:rPr>
                                            <w:rFonts w:cs="Times New Roman"/>
                                            <w:sz w:val="16"/>
                                            <w:szCs w:val="16"/>
                                          </w:rPr>
                                          <w:t>4</w:t>
                                        </w:r>
                                      </w:p>
                                    </w:tc>
                                  </w:tr>
                                  <w:tr w:rsidR="0014147F" w14:paraId="14477ABA" w14:textId="77777777">
                                    <w:trPr>
                                      <w:trHeight w:val="26"/>
                                    </w:trPr>
                                    <w:tc>
                                      <w:tcPr>
                                        <w:tcW w:w="1004" w:type="dxa"/>
                                        <w:tcBorders>
                                          <w:bottom w:val="single" w:sz="6" w:space="0" w:color="44546A" w:themeColor="text2"/>
                                        </w:tcBorders>
                                        <w:vAlign w:val="center"/>
                                      </w:tcPr>
                                      <w:p w14:paraId="55591F0D" w14:textId="77777777" w:rsidR="0014147F" w:rsidRDefault="0014147F">
                                        <w:pPr>
                                          <w:snapToGrid w:val="0"/>
                                          <w:spacing w:after="0" w:line="276" w:lineRule="auto"/>
                                          <w:jc w:val="both"/>
                                          <w:rPr>
                                            <w:rFonts w:cs="Times New Roman"/>
                                            <w:sz w:val="16"/>
                                            <w:szCs w:val="16"/>
                                          </w:rPr>
                                        </w:pPr>
                                        <w:r>
                                          <w:rPr>
                                            <w:rFonts w:cs="Times New Roman" w:hint="eastAsia"/>
                                            <w:sz w:val="16"/>
                                            <w:szCs w:val="16"/>
                                          </w:rPr>
                                          <w:t>报告日期</w:t>
                                        </w:r>
                                      </w:p>
                                    </w:tc>
                                    <w:tc>
                                      <w:tcPr>
                                        <w:tcW w:w="2475" w:type="dxa"/>
                                        <w:tcBorders>
                                          <w:bottom w:val="single" w:sz="6" w:space="0" w:color="44546A" w:themeColor="text2"/>
                                        </w:tcBorders>
                                        <w:vAlign w:val="center"/>
                                      </w:tcPr>
                                      <w:p w14:paraId="57092118" w14:textId="7ED5592D" w:rsidR="0014147F" w:rsidRPr="00A9656A" w:rsidRDefault="0014147F" w:rsidP="006A181B">
                                        <w:pPr>
                                          <w:snapToGrid w:val="0"/>
                                          <w:spacing w:after="0" w:line="276" w:lineRule="auto"/>
                                          <w:jc w:val="center"/>
                                          <w:rPr>
                                            <w:rFonts w:cs="Times New Roman"/>
                                            <w:sz w:val="16"/>
                                            <w:szCs w:val="16"/>
                                          </w:rPr>
                                        </w:pPr>
                                        <w:r w:rsidRPr="00A9656A">
                                          <w:rPr>
                                            <w:rFonts w:cs="Times New Roman"/>
                                            <w:sz w:val="16"/>
                                            <w:szCs w:val="16"/>
                                          </w:rPr>
                                          <w:t>2023.</w:t>
                                        </w:r>
                                        <w:r>
                                          <w:rPr>
                                            <w:rFonts w:cs="Times New Roman"/>
                                            <w:sz w:val="16"/>
                                            <w:szCs w:val="16"/>
                                          </w:rPr>
                                          <w:t>4.</w:t>
                                        </w:r>
                                        <w:r w:rsidR="001F41B3">
                                          <w:rPr>
                                            <w:rFonts w:cs="Times New Roman"/>
                                            <w:sz w:val="16"/>
                                            <w:szCs w:val="16"/>
                                          </w:rPr>
                                          <w:t>21</w:t>
                                        </w:r>
                                      </w:p>
                                    </w:tc>
                                  </w:tr>
                                </w:tbl>
                                <w:p w14:paraId="1D01CF9C" w14:textId="77777777" w:rsidR="0014147F" w:rsidRDefault="0014147F">
                                  <w:pPr>
                                    <w:spacing w:after="0" w:line="240" w:lineRule="auto"/>
                                    <w:jc w:val="center"/>
                                    <w:rPr>
                                      <w:rFonts w:cs="Arial"/>
                                      <w:sz w:val="16"/>
                                      <w:szCs w:val="16"/>
                                    </w:rPr>
                                  </w:pPr>
                                </w:p>
                              </w:txbxContent>
                            </wps:txbx>
                            <wps:bodyPr rot="0" spcFirstLastPara="0" vertOverflow="overflow" horzOverflow="overflow" vert="horz" wrap="square" lIns="91440" tIns="0" rIns="91440" bIns="0" numCol="1" spcCol="0" rtlCol="0" fromWordArt="0" anchor="b" anchorCtr="0" forceAA="0" compatLnSpc="1">
                              <a:noAutofit/>
                            </wps:bodyPr>
                          </wps:wsp>
                        </a:graphicData>
                      </a:graphic>
                      <wp14:sizeRelV relativeFrom="margin">
                        <wp14:pctHeight>0</wp14:pctHeight>
                      </wp14:sizeRelV>
                    </wp:anchor>
                  </w:drawing>
                </mc:Choice>
                <mc:Fallback>
                  <w:pict>
                    <v:shapetype w14:anchorId="17C39C23" id="_x0000_t202" coordsize="21600,21600" o:spt="202" path="m,l,21600r21600,l21600,xe">
                      <v:stroke joinstyle="miter"/>
                      <v:path gradientshapeok="t" o:connecttype="rect"/>
                    </v:shapetype>
                    <v:shape id="Text Box 14" o:spid="_x0000_s1026" type="#_x0000_t202" style="position:absolute;margin-left:-4.5pt;margin-top:186.25pt;width:179.25pt;height:238.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" filled="f" stroked="f" strokeweight=".5pt">
                      <v:textbox inset=",0,,0">
                        <w:txbxContent>
                          <w:tbl>
                            <w:tblPr>
                              <w:tblW w:w="3566" w:type="dxa"/>
                              <w:jc w:val="center"/>
                              <w:tblLayout w:type="fixed"/>
                              <w:tblCellMar>
                                <w:left w:w="0" w:type="dxa"/>
                                <w:right w:w="0" w:type="dxa"/>
                              </w:tblCellMar>
                              <w:tblLook w:val="04A0" w:firstRow="1" w:lastRow="0" w:firstColumn="1" w:lastColumn="0" w:noHBand="0" w:noVBand="1"/>
                            </w:tblPr>
                            <w:tblGrid>
                              <w:gridCol w:w="3566"/>
                            </w:tblGrid>
                            <w:tr w:rsidR="0014147F" w14:paraId="33327C5C" w14:textId="77777777">
                              <w:trPr>
                                <w:jc w:val="center"/>
                              </w:trPr>
                              <w:tc>
                                <w:tcPr>
                                  <w:tcW w:w="3566" w:type="dxa"/>
                                  <w:tcBorders>
                                    <w:bottom w:val="single" w:sz="2" w:space="0" w:color="1F4E79" w:themeColor="accent1" w:themeShade="80"/>
                                  </w:tcBorders>
                                  <w:tcMar>
                                    <w:top w:w="0" w:type="dxa"/>
                                    <w:left w:w="0" w:type="dxa"/>
                                    <w:bottom w:w="0" w:type="dxa"/>
                                    <w:right w:w="0" w:type="dxa"/>
                                  </w:tcMar>
                                </w:tcPr>
                                <w:p w14:paraId="25A12C70" w14:textId="77777777" w:rsidR="0014147F" w:rsidRDefault="0014147F">
                                  <w:pPr>
                                    <w:spacing w:after="0" w:line="240" w:lineRule="auto"/>
                                    <w:ind w:firstLineChars="50" w:firstLine="80"/>
                                    <w:rPr>
                                      <w:sz w:val="16"/>
                                      <w:szCs w:val="16"/>
                                    </w:rPr>
                                  </w:pPr>
                                  <w:r>
                                    <w:rPr>
                                      <w:rFonts w:hint="eastAsia"/>
                                      <w:sz w:val="16"/>
                                      <w:szCs w:val="16"/>
                                    </w:rPr>
                                    <w:t>股价表现</w:t>
                                  </w:r>
                                </w:p>
                              </w:tc>
                            </w:tr>
                            <w:tr w:rsidR="0014147F" w14:paraId="63E911BA" w14:textId="77777777">
                              <w:trPr>
                                <w:jc w:val="center"/>
                              </w:trPr>
                              <w:tc>
                                <w:tcPr>
                                  <w:tcW w:w="3566" w:type="dxa"/>
                                  <w:tcBorders>
                                    <w:top w:val="single" w:sz="2" w:space="0" w:color="1F4E79" w:themeColor="accent1" w:themeShade="80"/>
                                    <w:bottom w:val="single" w:sz="2" w:space="0" w:color="1F4E79" w:themeColor="accent1" w:themeShade="80"/>
                                  </w:tcBorders>
                                  <w:tcMar>
                                    <w:top w:w="58" w:type="dxa"/>
                                    <w:left w:w="58" w:type="dxa"/>
                                    <w:bottom w:w="58" w:type="dxa"/>
                                    <w:right w:w="58" w:type="dxa"/>
                                  </w:tcMar>
                                  <w:vAlign w:val="center"/>
                                </w:tcPr>
                                <w:p w14:paraId="32D9ADB0" w14:textId="77777777" w:rsidR="0014147F" w:rsidRDefault="0014147F">
                                  <w:pPr>
                                    <w:spacing w:after="0" w:line="240" w:lineRule="auto"/>
                                    <w:rPr>
                                      <w:sz w:val="16"/>
                                      <w:szCs w:val="16"/>
                                    </w:rPr>
                                  </w:pPr>
                                  <w:r>
                                    <w:rPr>
                                      <w:noProof/>
                                    </w:rPr>
                                    <w:drawing>
                                      <wp:inline distT="0" distB="0" distL="0" distR="0" wp14:anchorId="3CE1553C" wp14:editId="3967EFB8">
                                        <wp:extent cx="2190750" cy="1628775"/>
                                        <wp:effectExtent l="0" t="0" r="0" b="0"/>
                                        <wp:docPr id="24"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14147F" w14:paraId="38506BA7" w14:textId="77777777">
                              <w:trPr>
                                <w:jc w:val="center"/>
                              </w:trPr>
                              <w:tc>
                                <w:tcPr>
                                  <w:tcW w:w="3566" w:type="dxa"/>
                                  <w:tcBorders>
                                    <w:top w:val="single" w:sz="2" w:space="0" w:color="1F4E79" w:themeColor="accent1" w:themeShade="80"/>
                                  </w:tcBorders>
                                  <w:tcMar>
                                    <w:top w:w="0" w:type="dxa"/>
                                    <w:left w:w="0" w:type="dxa"/>
                                    <w:bottom w:w="0" w:type="dxa"/>
                                    <w:right w:w="0" w:type="dxa"/>
                                  </w:tcMar>
                                </w:tcPr>
                                <w:p w14:paraId="7F59EFC6" w14:textId="77777777" w:rsidR="0014147F" w:rsidRDefault="0014147F">
                                  <w:pPr>
                                    <w:spacing w:after="0" w:line="240" w:lineRule="auto"/>
                                    <w:ind w:firstLineChars="50" w:firstLine="80"/>
                                    <w:rPr>
                                      <w:sz w:val="16"/>
                                      <w:szCs w:val="16"/>
                                    </w:rPr>
                                  </w:pPr>
                                  <w:r>
                                    <w:rPr>
                                      <w:sz w:val="16"/>
                                      <w:szCs w:val="16"/>
                                    </w:rPr>
                                    <w:t>资料来源</w:t>
                                  </w:r>
                                  <w:r>
                                    <w:rPr>
                                      <w:sz w:val="16"/>
                                      <w:szCs w:val="16"/>
                                    </w:rPr>
                                    <w:t xml:space="preserve">: </w:t>
                                  </w:r>
                                  <w:r>
                                    <w:rPr>
                                      <w:sz w:val="16"/>
                                      <w:szCs w:val="16"/>
                                    </w:rPr>
                                    <w:t>彭博</w:t>
                                  </w:r>
                                </w:p>
                              </w:tc>
                            </w:tr>
                          </w:tbl>
                          <w:p w14:paraId="7FC1CCDD" w14:textId="77777777" w:rsidR="0014147F" w:rsidRDefault="0014147F">
                            <w:pPr>
                              <w:rPr>
                                <w:rFonts w:cs="Times New Roman"/>
                                <w:sz w:val="16"/>
                                <w:szCs w:val="16"/>
                              </w:rPr>
                            </w:pPr>
                          </w:p>
                          <w:tbl>
                            <w:tblPr>
                              <w:tblStyle w:val="1"/>
                              <w:tblW w:w="3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4"/>
                              <w:gridCol w:w="2475"/>
                            </w:tblGrid>
                            <w:tr w:rsidR="0014147F" w14:paraId="294A4A38" w14:textId="77777777">
                              <w:trPr>
                                <w:trHeight w:val="181"/>
                              </w:trPr>
                              <w:tc>
                                <w:tcPr>
                                  <w:tcW w:w="1004" w:type="dxa"/>
                                  <w:tcBorders>
                                    <w:top w:val="single" w:sz="6" w:space="0" w:color="44546A" w:themeColor="text2"/>
                                    <w:bottom w:val="single" w:sz="8" w:space="0" w:color="1F4E79" w:themeColor="accent1" w:themeShade="80"/>
                                  </w:tcBorders>
                                  <w:shd w:val="clear" w:color="auto" w:fill="9CC2E5" w:themeFill="accent1" w:themeFillTint="99"/>
                                  <w:vAlign w:val="center"/>
                                </w:tcPr>
                                <w:p w14:paraId="48DD3C70" w14:textId="77777777" w:rsidR="0014147F" w:rsidRDefault="0014147F">
                                  <w:pPr>
                                    <w:snapToGrid w:val="0"/>
                                    <w:spacing w:after="0" w:line="276" w:lineRule="auto"/>
                                    <w:jc w:val="both"/>
                                    <w:rPr>
                                      <w:rFonts w:cs="Times New Roman"/>
                                      <w:sz w:val="16"/>
                                      <w:szCs w:val="16"/>
                                    </w:rPr>
                                  </w:pPr>
                                  <w:r>
                                    <w:rPr>
                                      <w:rFonts w:cstheme="minorHAnsi" w:hint="eastAsia"/>
                                      <w:b/>
                                      <w:color w:val="1F4E79" w:themeColor="accent1" w:themeShade="80"/>
                                      <w:szCs w:val="18"/>
                                    </w:rPr>
                                    <w:t>公司估值</w:t>
                                  </w:r>
                                </w:p>
                              </w:tc>
                              <w:tc>
                                <w:tcPr>
                                  <w:tcW w:w="2475" w:type="dxa"/>
                                  <w:tcBorders>
                                    <w:top w:val="single" w:sz="6" w:space="0" w:color="44546A" w:themeColor="text2"/>
                                    <w:bottom w:val="single" w:sz="8" w:space="0" w:color="1F4E79" w:themeColor="accent1" w:themeShade="80"/>
                                  </w:tcBorders>
                                  <w:shd w:val="clear" w:color="auto" w:fill="9CC2E5" w:themeFill="accent1" w:themeFillTint="99"/>
                                  <w:vAlign w:val="center"/>
                                </w:tcPr>
                                <w:p w14:paraId="6A646A2E" w14:textId="77777777" w:rsidR="0014147F" w:rsidRDefault="0014147F">
                                  <w:pPr>
                                    <w:snapToGrid w:val="0"/>
                                    <w:spacing w:after="0" w:line="276" w:lineRule="auto"/>
                                    <w:jc w:val="center"/>
                                    <w:rPr>
                                      <w:rFonts w:cs="Times New Roman"/>
                                      <w:sz w:val="16"/>
                                      <w:szCs w:val="16"/>
                                    </w:rPr>
                                  </w:pPr>
                                </w:p>
                              </w:tc>
                            </w:tr>
                            <w:tr w:rsidR="0014147F" w14:paraId="20BA1083" w14:textId="77777777">
                              <w:trPr>
                                <w:trHeight w:val="26"/>
                              </w:trPr>
                              <w:tc>
                                <w:tcPr>
                                  <w:tcW w:w="1004" w:type="dxa"/>
                                  <w:vAlign w:val="center"/>
                                </w:tcPr>
                                <w:p w14:paraId="220E0237" w14:textId="77777777" w:rsidR="0014147F" w:rsidRDefault="0014147F">
                                  <w:pPr>
                                    <w:snapToGrid w:val="0"/>
                                    <w:spacing w:after="0" w:line="276" w:lineRule="auto"/>
                                    <w:jc w:val="both"/>
                                    <w:rPr>
                                      <w:rFonts w:cs="Times New Roman"/>
                                      <w:sz w:val="16"/>
                                      <w:szCs w:val="16"/>
                                    </w:rPr>
                                  </w:pPr>
                                  <w:r>
                                    <w:rPr>
                                      <w:rFonts w:cs="Times New Roman" w:hint="eastAsia"/>
                                      <w:sz w:val="16"/>
                                      <w:szCs w:val="16"/>
                                    </w:rPr>
                                    <w:t>当前股价</w:t>
                                  </w:r>
                                </w:p>
                              </w:tc>
                              <w:tc>
                                <w:tcPr>
                                  <w:tcW w:w="2475" w:type="dxa"/>
                                  <w:vAlign w:val="center"/>
                                </w:tcPr>
                                <w:p w14:paraId="0E77B07B" w14:textId="67168A5A" w:rsidR="0014147F" w:rsidRPr="00A9656A" w:rsidRDefault="0014147F" w:rsidP="00955819">
                                  <w:pPr>
                                    <w:snapToGrid w:val="0"/>
                                    <w:spacing w:after="0" w:line="276" w:lineRule="auto"/>
                                    <w:jc w:val="center"/>
                                    <w:rPr>
                                      <w:rFonts w:cs="Times New Roman"/>
                                      <w:sz w:val="16"/>
                                      <w:szCs w:val="16"/>
                                    </w:rPr>
                                  </w:pPr>
                                  <w:r>
                                    <w:rPr>
                                      <w:rFonts w:cs="Times New Roman"/>
                                      <w:sz w:val="16"/>
                                      <w:szCs w:val="16"/>
                                    </w:rPr>
                                    <w:t>HKD 6</w:t>
                                  </w:r>
                                  <w:r w:rsidR="001F41B3">
                                    <w:rPr>
                                      <w:rFonts w:cs="Times New Roman"/>
                                      <w:sz w:val="16"/>
                                      <w:szCs w:val="16"/>
                                    </w:rPr>
                                    <w:t>7</w:t>
                                  </w:r>
                                  <w:r>
                                    <w:rPr>
                                      <w:rFonts w:cs="Times New Roman"/>
                                      <w:sz w:val="16"/>
                                      <w:szCs w:val="16"/>
                                    </w:rPr>
                                    <w:t>.</w:t>
                                  </w:r>
                                  <w:r w:rsidR="001F41B3">
                                    <w:rPr>
                                      <w:rFonts w:cs="Times New Roman"/>
                                      <w:sz w:val="16"/>
                                      <w:szCs w:val="16"/>
                                    </w:rPr>
                                    <w:t>4</w:t>
                                  </w:r>
                                </w:p>
                              </w:tc>
                            </w:tr>
                            <w:tr w:rsidR="0014147F" w14:paraId="733BB9F0" w14:textId="77777777">
                              <w:trPr>
                                <w:trHeight w:val="80"/>
                              </w:trPr>
                              <w:tc>
                                <w:tcPr>
                                  <w:tcW w:w="1004" w:type="dxa"/>
                                  <w:vAlign w:val="center"/>
                                </w:tcPr>
                                <w:p w14:paraId="1D18436A" w14:textId="77777777" w:rsidR="0014147F" w:rsidRDefault="0014147F">
                                  <w:pPr>
                                    <w:snapToGrid w:val="0"/>
                                    <w:spacing w:after="0" w:line="276" w:lineRule="auto"/>
                                    <w:jc w:val="both"/>
                                    <w:rPr>
                                      <w:rFonts w:cs="Times New Roman"/>
                                      <w:sz w:val="16"/>
                                      <w:szCs w:val="16"/>
                                    </w:rPr>
                                  </w:pPr>
                                  <w:r>
                                    <w:rPr>
                                      <w:rFonts w:cs="Times New Roman" w:hint="eastAsia"/>
                                      <w:sz w:val="16"/>
                                      <w:szCs w:val="16"/>
                                    </w:rPr>
                                    <w:t>合理价值</w:t>
                                  </w:r>
                                </w:p>
                              </w:tc>
                              <w:tc>
                                <w:tcPr>
                                  <w:tcW w:w="2475" w:type="dxa"/>
                                  <w:vAlign w:val="center"/>
                                </w:tcPr>
                                <w:p w14:paraId="46DEFA78" w14:textId="1C18DAF8" w:rsidR="0014147F" w:rsidRPr="00A9656A" w:rsidRDefault="0014147F" w:rsidP="00955819">
                                  <w:pPr>
                                    <w:snapToGrid w:val="0"/>
                                    <w:spacing w:after="0" w:line="276" w:lineRule="auto"/>
                                    <w:jc w:val="center"/>
                                    <w:rPr>
                                      <w:rFonts w:cs="Times New Roman"/>
                                      <w:sz w:val="16"/>
                                      <w:szCs w:val="16"/>
                                    </w:rPr>
                                  </w:pPr>
                                  <w:r w:rsidRPr="00A9656A">
                                    <w:rPr>
                                      <w:rFonts w:cs="Times New Roman"/>
                                      <w:sz w:val="16"/>
                                      <w:szCs w:val="16"/>
                                    </w:rPr>
                                    <w:t xml:space="preserve">HKD </w:t>
                                  </w:r>
                                  <w:r>
                                    <w:rPr>
                                      <w:rFonts w:cs="Times New Roman"/>
                                      <w:sz w:val="16"/>
                                      <w:szCs w:val="16"/>
                                    </w:rPr>
                                    <w:t>7</w:t>
                                  </w:r>
                                  <w:r w:rsidR="001F41B3">
                                    <w:rPr>
                                      <w:rFonts w:cs="Times New Roman"/>
                                      <w:sz w:val="16"/>
                                      <w:szCs w:val="16"/>
                                    </w:rPr>
                                    <w:t>3</w:t>
                                  </w:r>
                                  <w:r>
                                    <w:rPr>
                                      <w:rFonts w:cs="Times New Roman"/>
                                      <w:sz w:val="16"/>
                                      <w:szCs w:val="16"/>
                                    </w:rPr>
                                    <w:t>.</w:t>
                                  </w:r>
                                  <w:r w:rsidR="001F41B3">
                                    <w:rPr>
                                      <w:rFonts w:cs="Times New Roman"/>
                                      <w:sz w:val="16"/>
                                      <w:szCs w:val="16"/>
                                    </w:rPr>
                                    <w:t>4</w:t>
                                  </w:r>
                                </w:p>
                              </w:tc>
                            </w:tr>
                            <w:tr w:rsidR="0014147F" w14:paraId="14477ABA" w14:textId="77777777">
                              <w:trPr>
                                <w:trHeight w:val="26"/>
                              </w:trPr>
                              <w:tc>
                                <w:tcPr>
                                  <w:tcW w:w="1004" w:type="dxa"/>
                                  <w:tcBorders>
                                    <w:bottom w:val="single" w:sz="6" w:space="0" w:color="44546A" w:themeColor="text2"/>
                                  </w:tcBorders>
                                  <w:vAlign w:val="center"/>
                                </w:tcPr>
                                <w:p w14:paraId="55591F0D" w14:textId="77777777" w:rsidR="0014147F" w:rsidRDefault="0014147F">
                                  <w:pPr>
                                    <w:snapToGrid w:val="0"/>
                                    <w:spacing w:after="0" w:line="276" w:lineRule="auto"/>
                                    <w:jc w:val="both"/>
                                    <w:rPr>
                                      <w:rFonts w:cs="Times New Roman"/>
                                      <w:sz w:val="16"/>
                                      <w:szCs w:val="16"/>
                                    </w:rPr>
                                  </w:pPr>
                                  <w:r>
                                    <w:rPr>
                                      <w:rFonts w:cs="Times New Roman" w:hint="eastAsia"/>
                                      <w:sz w:val="16"/>
                                      <w:szCs w:val="16"/>
                                    </w:rPr>
                                    <w:t>报告日期</w:t>
                                  </w:r>
                                </w:p>
                              </w:tc>
                              <w:tc>
                                <w:tcPr>
                                  <w:tcW w:w="2475" w:type="dxa"/>
                                  <w:tcBorders>
                                    <w:bottom w:val="single" w:sz="6" w:space="0" w:color="44546A" w:themeColor="text2"/>
                                  </w:tcBorders>
                                  <w:vAlign w:val="center"/>
                                </w:tcPr>
                                <w:p w14:paraId="57092118" w14:textId="7ED5592D" w:rsidR="0014147F" w:rsidRPr="00A9656A" w:rsidRDefault="0014147F" w:rsidP="006A181B">
                                  <w:pPr>
                                    <w:snapToGrid w:val="0"/>
                                    <w:spacing w:after="0" w:line="276" w:lineRule="auto"/>
                                    <w:jc w:val="center"/>
                                    <w:rPr>
                                      <w:rFonts w:cs="Times New Roman"/>
                                      <w:sz w:val="16"/>
                                      <w:szCs w:val="16"/>
                                    </w:rPr>
                                  </w:pPr>
                                  <w:r w:rsidRPr="00A9656A">
                                    <w:rPr>
                                      <w:rFonts w:cs="Times New Roman"/>
                                      <w:sz w:val="16"/>
                                      <w:szCs w:val="16"/>
                                    </w:rPr>
                                    <w:t>2023.</w:t>
                                  </w:r>
                                  <w:r>
                                    <w:rPr>
                                      <w:rFonts w:cs="Times New Roman"/>
                                      <w:sz w:val="16"/>
                                      <w:szCs w:val="16"/>
                                    </w:rPr>
                                    <w:t>4.</w:t>
                                  </w:r>
                                  <w:r w:rsidR="001F41B3">
                                    <w:rPr>
                                      <w:rFonts w:cs="Times New Roman"/>
                                      <w:sz w:val="16"/>
                                      <w:szCs w:val="16"/>
                                    </w:rPr>
                                    <w:t>21</w:t>
                                  </w:r>
                                </w:p>
                              </w:tc>
                            </w:tr>
                          </w:tbl>
                          <w:p w14:paraId="1D01CF9C" w14:textId="77777777" w:rsidR="0014147F" w:rsidRDefault="0014147F">
                            <w:pPr>
                              <w:spacing w:after="0" w:line="240" w:lineRule="auto"/>
                              <w:jc w:val="center"/>
                              <w:rPr>
                                <w:rFonts w:cs="Arial"/>
                                <w:sz w:val="16"/>
                                <w:szCs w:val="16"/>
                              </w:rPr>
                            </w:pPr>
                          </w:p>
                        </w:txbxContent>
                      </v:textbox>
                      <w10:wrap anchory="page"/>
                    </v:shape>
                  </w:pict>
                </mc:Fallback>
              </mc:AlternateContent>
            </w:r>
          </w:p>
          <w:p w14:paraId="575E8A99" w14:textId="509929DE" w:rsidR="00BF54CD" w:rsidRDefault="00BF54CD" w:rsidP="00BF54CD">
            <w:pPr>
              <w:snapToGrid w:val="0"/>
              <w:spacing w:after="0" w:line="276" w:lineRule="auto"/>
              <w:rPr>
                <w:rFonts w:cs="Times New Roman"/>
                <w:sz w:val="16"/>
                <w:szCs w:val="16"/>
              </w:rPr>
            </w:pPr>
          </w:p>
          <w:p w14:paraId="60F7EE71" w14:textId="77777777" w:rsidR="00833716" w:rsidRDefault="00833716">
            <w:pPr>
              <w:spacing w:after="0" w:line="240" w:lineRule="auto"/>
              <w:rPr>
                <w:sz w:val="16"/>
                <w:szCs w:val="16"/>
              </w:rPr>
            </w:pPr>
          </w:p>
          <w:p w14:paraId="22833D3E" w14:textId="77777777" w:rsidR="00833716" w:rsidRDefault="00833716">
            <w:pPr>
              <w:spacing w:after="0" w:line="240" w:lineRule="auto"/>
              <w:rPr>
                <w:sz w:val="16"/>
                <w:szCs w:val="16"/>
              </w:rPr>
            </w:pPr>
          </w:p>
          <w:p w14:paraId="1FD14559" w14:textId="77777777" w:rsidR="00833716" w:rsidRDefault="00833716">
            <w:pPr>
              <w:spacing w:after="0" w:line="240" w:lineRule="auto"/>
              <w:rPr>
                <w:sz w:val="16"/>
                <w:szCs w:val="16"/>
              </w:rPr>
            </w:pPr>
          </w:p>
          <w:p w14:paraId="3A5E284C" w14:textId="77777777" w:rsidR="00833716" w:rsidRDefault="00833716">
            <w:pPr>
              <w:spacing w:after="0" w:line="240" w:lineRule="auto"/>
              <w:rPr>
                <w:sz w:val="16"/>
                <w:szCs w:val="16"/>
              </w:rPr>
            </w:pPr>
          </w:p>
          <w:p w14:paraId="493CB198" w14:textId="77777777" w:rsidR="00833716" w:rsidRDefault="00833716">
            <w:pPr>
              <w:spacing w:after="0" w:line="240" w:lineRule="auto"/>
              <w:rPr>
                <w:sz w:val="16"/>
                <w:szCs w:val="16"/>
              </w:rPr>
            </w:pPr>
          </w:p>
          <w:p w14:paraId="3875E0B9" w14:textId="77777777" w:rsidR="00833716" w:rsidRDefault="00833716">
            <w:pPr>
              <w:spacing w:after="0" w:line="240" w:lineRule="auto"/>
              <w:rPr>
                <w:sz w:val="16"/>
                <w:szCs w:val="16"/>
              </w:rPr>
            </w:pPr>
          </w:p>
          <w:p w14:paraId="1D3ADE25" w14:textId="77777777" w:rsidR="00833716" w:rsidRDefault="00833716">
            <w:pPr>
              <w:spacing w:after="0" w:line="240" w:lineRule="auto"/>
              <w:rPr>
                <w:sz w:val="16"/>
                <w:szCs w:val="16"/>
              </w:rPr>
            </w:pPr>
          </w:p>
          <w:p w14:paraId="7668E91C" w14:textId="77777777" w:rsidR="00833716" w:rsidRDefault="00833716">
            <w:pPr>
              <w:spacing w:after="0" w:line="240" w:lineRule="auto"/>
              <w:rPr>
                <w:sz w:val="16"/>
                <w:szCs w:val="16"/>
              </w:rPr>
            </w:pPr>
          </w:p>
          <w:p w14:paraId="31C3D5CD" w14:textId="77777777" w:rsidR="00833716" w:rsidRDefault="00833716">
            <w:pPr>
              <w:spacing w:after="0" w:line="240" w:lineRule="auto"/>
              <w:rPr>
                <w:sz w:val="16"/>
                <w:szCs w:val="16"/>
              </w:rPr>
            </w:pPr>
          </w:p>
          <w:p w14:paraId="40EDF26A" w14:textId="77777777" w:rsidR="00833716" w:rsidRDefault="00833716">
            <w:pPr>
              <w:spacing w:after="0" w:line="240" w:lineRule="auto"/>
              <w:rPr>
                <w:sz w:val="16"/>
                <w:szCs w:val="16"/>
              </w:rPr>
            </w:pPr>
          </w:p>
          <w:p w14:paraId="0379974A" w14:textId="77777777" w:rsidR="00833716" w:rsidRDefault="00833716">
            <w:pPr>
              <w:spacing w:after="0" w:line="240" w:lineRule="auto"/>
              <w:rPr>
                <w:sz w:val="16"/>
                <w:szCs w:val="16"/>
              </w:rPr>
            </w:pPr>
          </w:p>
          <w:p w14:paraId="6AADAFFF" w14:textId="77777777" w:rsidR="00833716" w:rsidRDefault="00833716">
            <w:pPr>
              <w:spacing w:after="0" w:line="240" w:lineRule="auto"/>
              <w:rPr>
                <w:sz w:val="16"/>
                <w:szCs w:val="16"/>
              </w:rPr>
            </w:pPr>
          </w:p>
          <w:p w14:paraId="2445B9BB" w14:textId="77777777" w:rsidR="00833716" w:rsidRDefault="00833716">
            <w:pPr>
              <w:spacing w:after="0" w:line="240" w:lineRule="auto"/>
              <w:rPr>
                <w:sz w:val="16"/>
                <w:szCs w:val="16"/>
              </w:rPr>
            </w:pPr>
          </w:p>
          <w:p w14:paraId="21F30A96" w14:textId="77777777" w:rsidR="00833716" w:rsidRDefault="00833716">
            <w:pPr>
              <w:spacing w:after="0" w:line="240" w:lineRule="auto"/>
              <w:rPr>
                <w:sz w:val="16"/>
                <w:szCs w:val="16"/>
              </w:rPr>
            </w:pPr>
          </w:p>
          <w:p w14:paraId="03E9D332" w14:textId="77777777" w:rsidR="00833716" w:rsidRDefault="00833716">
            <w:pPr>
              <w:spacing w:after="0" w:line="240" w:lineRule="auto"/>
              <w:rPr>
                <w:sz w:val="16"/>
                <w:szCs w:val="16"/>
              </w:rPr>
            </w:pPr>
          </w:p>
          <w:p w14:paraId="3C57C935" w14:textId="77777777" w:rsidR="00833716" w:rsidRDefault="00833716">
            <w:pPr>
              <w:spacing w:after="0" w:line="240" w:lineRule="auto"/>
              <w:rPr>
                <w:sz w:val="16"/>
                <w:szCs w:val="16"/>
              </w:rPr>
            </w:pPr>
          </w:p>
          <w:p w14:paraId="0ECEB7E5" w14:textId="77777777" w:rsidR="00833716" w:rsidRDefault="00833716">
            <w:pPr>
              <w:spacing w:after="0" w:line="240" w:lineRule="auto"/>
              <w:rPr>
                <w:sz w:val="16"/>
                <w:szCs w:val="16"/>
              </w:rPr>
            </w:pPr>
          </w:p>
          <w:p w14:paraId="2B71842A" w14:textId="77777777" w:rsidR="00833716" w:rsidRDefault="00833716">
            <w:pPr>
              <w:spacing w:after="0" w:line="240" w:lineRule="auto"/>
              <w:rPr>
                <w:sz w:val="16"/>
                <w:szCs w:val="16"/>
              </w:rPr>
            </w:pPr>
          </w:p>
          <w:p w14:paraId="3CE80D09" w14:textId="77777777" w:rsidR="00833716" w:rsidRDefault="00833716">
            <w:pPr>
              <w:spacing w:after="0" w:line="240" w:lineRule="auto"/>
              <w:rPr>
                <w:sz w:val="16"/>
                <w:szCs w:val="16"/>
              </w:rPr>
            </w:pPr>
          </w:p>
          <w:p w14:paraId="2D48DA94" w14:textId="77777777" w:rsidR="00833716" w:rsidRDefault="00833716">
            <w:pPr>
              <w:spacing w:after="0" w:line="240" w:lineRule="auto"/>
              <w:rPr>
                <w:sz w:val="16"/>
                <w:szCs w:val="16"/>
              </w:rPr>
            </w:pPr>
          </w:p>
          <w:p w14:paraId="5EF61E1B" w14:textId="77777777" w:rsidR="00833716" w:rsidRDefault="00833716">
            <w:pPr>
              <w:spacing w:after="0" w:line="240" w:lineRule="auto"/>
              <w:rPr>
                <w:sz w:val="16"/>
                <w:szCs w:val="16"/>
              </w:rPr>
            </w:pPr>
          </w:p>
          <w:p w14:paraId="22EDD072" w14:textId="77777777" w:rsidR="00833716" w:rsidRDefault="00833716">
            <w:pPr>
              <w:spacing w:after="0" w:line="240" w:lineRule="auto"/>
              <w:rPr>
                <w:sz w:val="16"/>
                <w:szCs w:val="16"/>
              </w:rPr>
            </w:pPr>
          </w:p>
          <w:p w14:paraId="186268B4" w14:textId="77777777" w:rsidR="00833716" w:rsidRDefault="00833716">
            <w:pPr>
              <w:spacing w:after="0" w:line="240" w:lineRule="auto"/>
              <w:rPr>
                <w:sz w:val="16"/>
                <w:szCs w:val="16"/>
              </w:rPr>
            </w:pPr>
          </w:p>
          <w:p w14:paraId="12577937" w14:textId="77777777" w:rsidR="00833716" w:rsidRDefault="00833716">
            <w:pPr>
              <w:spacing w:after="0" w:line="240" w:lineRule="auto"/>
              <w:rPr>
                <w:sz w:val="16"/>
                <w:szCs w:val="16"/>
              </w:rPr>
            </w:pPr>
          </w:p>
          <w:p w14:paraId="40D1F2D2" w14:textId="77777777" w:rsidR="00833716" w:rsidRDefault="00833716">
            <w:pPr>
              <w:spacing w:after="0" w:line="240" w:lineRule="auto"/>
              <w:rPr>
                <w:sz w:val="16"/>
                <w:szCs w:val="16"/>
              </w:rPr>
            </w:pPr>
          </w:p>
          <w:tbl>
            <w:tblPr>
              <w:tblW w:w="3477" w:type="dxa"/>
              <w:shd w:val="clear" w:color="auto" w:fill="5B9BD5"/>
              <w:tblLayout w:type="fixed"/>
              <w:tblCellMar>
                <w:top w:w="15" w:type="dxa"/>
                <w:left w:w="15" w:type="dxa"/>
                <w:bottom w:w="15" w:type="dxa"/>
                <w:right w:w="15" w:type="dxa"/>
              </w:tblCellMar>
              <w:tblLook w:val="04A0" w:firstRow="1" w:lastRow="0" w:firstColumn="1" w:lastColumn="0" w:noHBand="0" w:noVBand="1"/>
            </w:tblPr>
            <w:tblGrid>
              <w:gridCol w:w="3477"/>
            </w:tblGrid>
            <w:tr w:rsidR="008D15C3" w:rsidRPr="008F1E16" w14:paraId="23655846" w14:textId="77777777" w:rsidTr="001338BF">
              <w:trPr>
                <w:trHeight w:val="369"/>
              </w:trPr>
              <w:tc>
                <w:tcPr>
                  <w:tcW w:w="3477" w:type="dxa"/>
                  <w:shd w:val="clear" w:color="auto" w:fill="BDD6EE" w:themeFill="accent1" w:themeFillTint="66"/>
                  <w:vAlign w:val="center"/>
                  <w:hideMark/>
                </w:tcPr>
                <w:p w14:paraId="696D5BBD" w14:textId="77777777" w:rsidR="008D15C3" w:rsidRPr="008F1E16" w:rsidRDefault="008D15C3" w:rsidP="008D15C3">
                  <w:pPr>
                    <w:spacing w:before="100" w:beforeAutospacing="1" w:after="100" w:afterAutospacing="1" w:line="240" w:lineRule="auto"/>
                    <w:jc w:val="both"/>
                    <w:textAlignment w:val="baseline"/>
                    <w:rPr>
                      <w:rFonts w:eastAsia="Times New Roman" w:cs="Times New Roman"/>
                      <w:sz w:val="24"/>
                      <w:szCs w:val="24"/>
                      <w:lang w:val="en-SG"/>
                    </w:rPr>
                  </w:pPr>
                  <w:r w:rsidRPr="008F1E16">
                    <w:rPr>
                      <w:rFonts w:ascii="SimSun" w:eastAsia="SimSun" w:hAnsi="SimSun" w:cs="Times New Roman" w:hint="eastAsia"/>
                      <w:b/>
                      <w:bCs/>
                      <w:color w:val="1F4E79"/>
                      <w:szCs w:val="18"/>
                      <w:lang w:val="en-SG"/>
                    </w:rPr>
                    <w:t>相关研究</w:t>
                  </w:r>
                  <w:r w:rsidRPr="008F1E16">
                    <w:rPr>
                      <w:rFonts w:ascii="SimSun" w:eastAsia="SimSun" w:hAnsi="SimSun" w:cs="Times New Roman" w:hint="eastAsia"/>
                      <w:color w:val="1F4E79"/>
                      <w:szCs w:val="18"/>
                      <w:lang w:val="en-SG"/>
                    </w:rPr>
                    <w:t> </w:t>
                  </w:r>
                </w:p>
              </w:tc>
            </w:tr>
            <w:tr w:rsidR="008D15C3" w:rsidRPr="008F1E16" w14:paraId="1A9BB2F8" w14:textId="77777777" w:rsidTr="001338BF">
              <w:trPr>
                <w:trHeight w:val="926"/>
              </w:trPr>
              <w:tc>
                <w:tcPr>
                  <w:tcW w:w="3477" w:type="dxa"/>
                  <w:shd w:val="clear" w:color="auto" w:fill="auto"/>
                  <w:hideMark/>
                </w:tcPr>
                <w:p w14:paraId="7999A4BC" w14:textId="16EA2716" w:rsidR="00160B85" w:rsidRPr="00591586" w:rsidRDefault="00160B85" w:rsidP="00114032">
                  <w:pPr>
                    <w:spacing w:before="100" w:beforeAutospacing="1" w:after="0" w:line="360" w:lineRule="auto"/>
                    <w:jc w:val="both"/>
                    <w:textAlignment w:val="baseline"/>
                    <w:rPr>
                      <w:rFonts w:cs="Times New Roman"/>
                      <w:bCs/>
                      <w:sz w:val="16"/>
                      <w:szCs w:val="16"/>
                      <w:lang w:val="en-SG"/>
                    </w:rPr>
                  </w:pPr>
                  <w:r w:rsidRPr="00591586">
                    <w:rPr>
                      <w:rFonts w:cs="Times New Roman" w:hint="eastAsia"/>
                      <w:bCs/>
                      <w:sz w:val="16"/>
                      <w:szCs w:val="16"/>
                      <w:lang w:val="en-SG"/>
                    </w:rPr>
                    <w:t>中国移动：三季度业绩稳健，价值显著低估</w:t>
                  </w:r>
                  <w:r w:rsidR="00A6781A" w:rsidRPr="00591586">
                    <w:rPr>
                      <w:rFonts w:cs="Times New Roman" w:hint="eastAsia"/>
                      <w:bCs/>
                      <w:sz w:val="16"/>
                      <w:szCs w:val="16"/>
                      <w:lang w:val="en-SG"/>
                    </w:rPr>
                    <w:t>2</w:t>
                  </w:r>
                  <w:r w:rsidR="00A6781A" w:rsidRPr="00591586">
                    <w:rPr>
                      <w:rFonts w:cs="Times New Roman"/>
                      <w:bCs/>
                      <w:sz w:val="16"/>
                      <w:szCs w:val="16"/>
                      <w:lang w:val="en-SG"/>
                    </w:rPr>
                    <w:t>0</w:t>
                  </w:r>
                  <w:r w:rsidR="001338BF" w:rsidRPr="00591586">
                    <w:rPr>
                      <w:rFonts w:cs="Times New Roman"/>
                      <w:bCs/>
                      <w:sz w:val="16"/>
                      <w:szCs w:val="16"/>
                      <w:lang w:val="en-SG"/>
                    </w:rPr>
                    <w:t>221102</w:t>
                  </w:r>
                </w:p>
                <w:p w14:paraId="2B5C9A64" w14:textId="77777777" w:rsidR="008D15C3" w:rsidRPr="00114032" w:rsidRDefault="008D15C3" w:rsidP="00160B85">
                  <w:pPr>
                    <w:spacing w:before="100" w:beforeAutospacing="1" w:after="0" w:line="360" w:lineRule="auto"/>
                    <w:jc w:val="both"/>
                    <w:textAlignment w:val="baseline"/>
                    <w:rPr>
                      <w:rFonts w:eastAsia="Times New Roman" w:cs="Times New Roman"/>
                      <w:b/>
                      <w:bCs/>
                      <w:szCs w:val="18"/>
                      <w:lang w:val="en-SG"/>
                    </w:rPr>
                  </w:pPr>
                </w:p>
              </w:tc>
            </w:tr>
          </w:tbl>
          <w:p w14:paraId="26496128" w14:textId="77777777" w:rsidR="00833716" w:rsidRDefault="00343CE3">
            <w:pPr>
              <w:spacing w:after="0" w:line="240" w:lineRule="auto"/>
              <w:jc w:val="both"/>
              <w:rPr>
                <w:rFonts w:ascii="SimSun" w:eastAsia="SimSun" w:hAnsi="SimSun"/>
                <w:sz w:val="14"/>
                <w:szCs w:val="14"/>
              </w:rPr>
            </w:pPr>
            <w:r>
              <w:rPr>
                <w:rFonts w:ascii="SimSun" w:eastAsia="SimSun" w:hAnsi="SimSun" w:hint="eastAsia"/>
                <w:sz w:val="14"/>
                <w:szCs w:val="14"/>
              </w:rPr>
              <w:t>财富研究部为广发证券（香港）经纪有限公司经纪业务属下的部门，而非隶属股票研究部。本文件应被视为市场营销传播文件, 而非股票研究部的投资研究。本文件并未根据香港证券及期货事务监察委员会持牌人或注册人操守准则第16章&lt;&lt;分析员&gt;&gt;而编制。本文件不应被解作向收件人提出购买或出售任何投资或其他特定产品的招揽或要约。本文件仅供在香港分发。</w:t>
            </w:r>
          </w:p>
          <w:p w14:paraId="6820FDFE" w14:textId="77777777" w:rsidR="00833716" w:rsidRDefault="00833716">
            <w:pPr>
              <w:spacing w:after="0" w:line="240" w:lineRule="auto"/>
              <w:jc w:val="both"/>
              <w:rPr>
                <w:rFonts w:cs="Times New Roman"/>
                <w:sz w:val="16"/>
                <w:szCs w:val="16"/>
              </w:rPr>
            </w:pPr>
          </w:p>
        </w:tc>
        <w:tc>
          <w:tcPr>
            <w:tcW w:w="435" w:type="dxa"/>
          </w:tcPr>
          <w:p w14:paraId="54BCD788" w14:textId="77777777" w:rsidR="00833716" w:rsidRDefault="00833716">
            <w:pPr>
              <w:spacing w:after="0" w:line="276" w:lineRule="auto"/>
              <w:rPr>
                <w:rFonts w:cs="Times New Roman"/>
                <w:szCs w:val="20"/>
              </w:rPr>
            </w:pPr>
          </w:p>
          <w:p w14:paraId="6BA56993" w14:textId="77777777" w:rsidR="00833716" w:rsidRDefault="00833716">
            <w:pPr>
              <w:spacing w:after="0" w:line="276" w:lineRule="auto"/>
              <w:rPr>
                <w:rFonts w:cs="Times New Roman"/>
                <w:szCs w:val="20"/>
              </w:rPr>
            </w:pPr>
          </w:p>
        </w:tc>
        <w:tc>
          <w:tcPr>
            <w:tcW w:w="7009" w:type="dxa"/>
            <w:shd w:val="clear" w:color="auto" w:fill="auto"/>
          </w:tcPr>
          <w:p w14:paraId="43D01F31" w14:textId="7AA2B012" w:rsidR="00833716" w:rsidRPr="00810D55" w:rsidRDefault="00D91382" w:rsidP="008507EA">
            <w:pPr>
              <w:spacing w:after="0" w:line="240" w:lineRule="auto"/>
              <w:rPr>
                <w:b/>
                <w:sz w:val="21"/>
                <w:szCs w:val="21"/>
              </w:rPr>
            </w:pPr>
            <w:bookmarkStart w:id="0" w:name="_Hlk115370960"/>
            <w:bookmarkStart w:id="1" w:name="_Hlk107415370"/>
            <w:r>
              <w:rPr>
                <w:rFonts w:cs="Times New Roman" w:hint="eastAsia"/>
                <w:b/>
                <w:sz w:val="21"/>
                <w:szCs w:val="21"/>
              </w:rPr>
              <w:t>2</w:t>
            </w:r>
            <w:r>
              <w:rPr>
                <w:rFonts w:cs="Times New Roman"/>
                <w:b/>
                <w:sz w:val="21"/>
                <w:szCs w:val="21"/>
              </w:rPr>
              <w:t>022</w:t>
            </w:r>
            <w:r>
              <w:rPr>
                <w:rFonts w:cs="Times New Roman" w:hint="eastAsia"/>
                <w:b/>
                <w:sz w:val="21"/>
                <w:szCs w:val="21"/>
              </w:rPr>
              <w:t>年</w:t>
            </w:r>
            <w:r w:rsidR="00D15632">
              <w:rPr>
                <w:rFonts w:cs="Times New Roman" w:hint="eastAsia"/>
                <w:b/>
                <w:sz w:val="21"/>
                <w:szCs w:val="21"/>
              </w:rPr>
              <w:t>业绩</w:t>
            </w:r>
            <w:r w:rsidR="005357C9">
              <w:rPr>
                <w:rFonts w:cs="Times New Roman" w:hint="eastAsia"/>
                <w:b/>
                <w:sz w:val="21"/>
                <w:szCs w:val="21"/>
              </w:rPr>
              <w:t>保持</w:t>
            </w:r>
            <w:r w:rsidR="00D15632">
              <w:rPr>
                <w:rFonts w:cs="Times New Roman" w:hint="eastAsia"/>
                <w:b/>
                <w:sz w:val="21"/>
                <w:szCs w:val="21"/>
              </w:rPr>
              <w:t>稳健</w:t>
            </w:r>
            <w:r w:rsidR="00C32DA5">
              <w:rPr>
                <w:rFonts w:cs="Times New Roman" w:hint="eastAsia"/>
                <w:b/>
                <w:sz w:val="21"/>
                <w:szCs w:val="21"/>
              </w:rPr>
              <w:t>增长，派息率</w:t>
            </w:r>
            <w:r w:rsidR="003665B0">
              <w:rPr>
                <w:rFonts w:cs="Times New Roman" w:hint="eastAsia"/>
                <w:b/>
                <w:sz w:val="21"/>
                <w:szCs w:val="21"/>
              </w:rPr>
              <w:t>持续</w:t>
            </w:r>
            <w:r w:rsidR="00C32DA5">
              <w:rPr>
                <w:rFonts w:cs="Times New Roman" w:hint="eastAsia"/>
                <w:b/>
                <w:sz w:val="21"/>
                <w:szCs w:val="21"/>
              </w:rPr>
              <w:t>提升</w:t>
            </w:r>
          </w:p>
          <w:p w14:paraId="22497F22" w14:textId="4D2121B1" w:rsidR="00833716" w:rsidRPr="003B4205" w:rsidRDefault="00D345CE">
            <w:pPr>
              <w:pStyle w:val="TopCalls"/>
              <w:jc w:val="both"/>
              <w:rPr>
                <w:rFonts w:ascii="Times New Roman" w:hAnsi="Times New Roman" w:cs="Times New Roman"/>
                <w:sz w:val="18"/>
                <w:szCs w:val="18"/>
              </w:rPr>
            </w:pPr>
            <w:r w:rsidRPr="00D345CE">
              <w:rPr>
                <w:rFonts w:ascii="Times New Roman" w:hAnsi="Times New Roman" w:cs="Times New Roman" w:hint="eastAsia"/>
                <w:sz w:val="18"/>
                <w:szCs w:val="18"/>
              </w:rPr>
              <w:t>中国移动近期发布</w:t>
            </w:r>
            <w:r w:rsidRPr="00D345CE">
              <w:rPr>
                <w:rFonts w:ascii="Times New Roman" w:hAnsi="Times New Roman" w:cs="Times New Roman" w:hint="eastAsia"/>
                <w:sz w:val="18"/>
                <w:szCs w:val="18"/>
              </w:rPr>
              <w:t xml:space="preserve">2022 </w:t>
            </w:r>
            <w:r w:rsidRPr="00D345CE">
              <w:rPr>
                <w:rFonts w:ascii="Times New Roman" w:hAnsi="Times New Roman" w:cs="Times New Roman" w:hint="eastAsia"/>
                <w:sz w:val="18"/>
                <w:szCs w:val="18"/>
              </w:rPr>
              <w:t>年业绩，整体表现符合市场预期</w:t>
            </w:r>
            <w:r w:rsidR="009425FA" w:rsidRPr="00CD6911">
              <w:rPr>
                <w:rFonts w:ascii="Times New Roman" w:hAnsi="Times New Roman" w:cs="Times New Roman" w:hint="eastAsia"/>
                <w:sz w:val="18"/>
                <w:szCs w:val="18"/>
              </w:rPr>
              <w:t>。</w:t>
            </w:r>
            <w:r w:rsidR="00217447">
              <w:rPr>
                <w:rFonts w:ascii="Times New Roman" w:hAnsi="Times New Roman" w:cs="Times New Roman" w:hint="eastAsia"/>
                <w:sz w:val="18"/>
                <w:szCs w:val="18"/>
              </w:rPr>
              <w:t>营收方面</w:t>
            </w:r>
            <w:r w:rsidR="001D4095">
              <w:rPr>
                <w:rFonts w:ascii="Times New Roman" w:hAnsi="Times New Roman" w:cs="Times New Roman" w:hint="eastAsia"/>
                <w:sz w:val="18"/>
                <w:szCs w:val="18"/>
              </w:rPr>
              <w:t>，</w:t>
            </w:r>
            <w:r w:rsidR="00B542A5">
              <w:rPr>
                <w:rFonts w:ascii="Times New Roman" w:hAnsi="Times New Roman" w:cs="Times New Roman" w:hint="eastAsia"/>
                <w:sz w:val="18"/>
                <w:szCs w:val="18"/>
              </w:rPr>
              <w:t>全年</w:t>
            </w:r>
            <w:r w:rsidR="001D4095">
              <w:rPr>
                <w:rFonts w:ascii="Times New Roman" w:hAnsi="Times New Roman" w:cs="Times New Roman" w:hint="eastAsia"/>
                <w:sz w:val="18"/>
                <w:szCs w:val="18"/>
              </w:rPr>
              <w:t>实现营收</w:t>
            </w:r>
            <w:r w:rsidR="001D4095">
              <w:rPr>
                <w:rFonts w:ascii="Times New Roman" w:hAnsi="Times New Roman" w:cs="Times New Roman" w:hint="eastAsia"/>
                <w:sz w:val="18"/>
                <w:szCs w:val="18"/>
              </w:rPr>
              <w:t>9</w:t>
            </w:r>
            <w:r w:rsidR="001D4095">
              <w:rPr>
                <w:rFonts w:ascii="Times New Roman" w:hAnsi="Times New Roman" w:cs="Times New Roman"/>
                <w:sz w:val="18"/>
                <w:szCs w:val="18"/>
              </w:rPr>
              <w:t>,373</w:t>
            </w:r>
            <w:r w:rsidR="001D4095">
              <w:rPr>
                <w:rFonts w:ascii="Times New Roman" w:hAnsi="Times New Roman" w:cs="Times New Roman" w:hint="eastAsia"/>
                <w:sz w:val="18"/>
                <w:szCs w:val="18"/>
              </w:rPr>
              <w:t>亿元（人民币，下同），</w:t>
            </w:r>
            <w:r w:rsidR="001D4095" w:rsidRPr="001D4095">
              <w:rPr>
                <w:rFonts w:ascii="Times New Roman" w:hAnsi="Times New Roman" w:cs="Times New Roman" w:hint="eastAsia"/>
                <w:sz w:val="18"/>
                <w:szCs w:val="18"/>
              </w:rPr>
              <w:t>同比增长</w:t>
            </w:r>
            <w:r w:rsidR="001D4095" w:rsidRPr="001D4095">
              <w:rPr>
                <w:rFonts w:ascii="Times New Roman" w:hAnsi="Times New Roman" w:cs="Times New Roman" w:hint="eastAsia"/>
                <w:sz w:val="18"/>
                <w:szCs w:val="18"/>
              </w:rPr>
              <w:t>10.5</w:t>
            </w:r>
            <w:r w:rsidR="005A4C3F">
              <w:rPr>
                <w:rFonts w:ascii="Times New Roman" w:hAnsi="Times New Roman" w:cs="Times New Roman"/>
                <w:sz w:val="18"/>
                <w:szCs w:val="18"/>
              </w:rPr>
              <w:t xml:space="preserve"> </w:t>
            </w:r>
            <w:r w:rsidR="001D4095" w:rsidRPr="001D4095">
              <w:rPr>
                <w:rFonts w:ascii="Times New Roman" w:hAnsi="Times New Roman" w:cs="Times New Roman" w:hint="eastAsia"/>
                <w:sz w:val="18"/>
                <w:szCs w:val="18"/>
              </w:rPr>
              <w:t>%</w:t>
            </w:r>
            <w:r w:rsidR="001D4095" w:rsidRPr="001D4095">
              <w:rPr>
                <w:rFonts w:ascii="Times New Roman" w:hAnsi="Times New Roman" w:cs="Times New Roman" w:hint="eastAsia"/>
                <w:sz w:val="18"/>
                <w:szCs w:val="18"/>
              </w:rPr>
              <w:t>。其中</w:t>
            </w:r>
            <w:r w:rsidR="001D4095">
              <w:rPr>
                <w:rFonts w:ascii="Times New Roman" w:hAnsi="Times New Roman" w:cs="Times New Roman" w:hint="eastAsia"/>
                <w:sz w:val="18"/>
                <w:szCs w:val="18"/>
              </w:rPr>
              <w:t>核心</w:t>
            </w:r>
            <w:r w:rsidR="001D4095" w:rsidRPr="001D4095">
              <w:rPr>
                <w:rFonts w:ascii="Times New Roman" w:hAnsi="Times New Roman" w:cs="Times New Roman" w:hint="eastAsia"/>
                <w:sz w:val="18"/>
                <w:szCs w:val="18"/>
              </w:rPr>
              <w:t>通信服务收入</w:t>
            </w:r>
            <w:r w:rsidR="001D4095">
              <w:rPr>
                <w:rFonts w:ascii="Times New Roman" w:hAnsi="Times New Roman" w:cs="Times New Roman" w:hint="eastAsia"/>
                <w:sz w:val="18"/>
                <w:szCs w:val="18"/>
              </w:rPr>
              <w:t>达</w:t>
            </w:r>
            <w:r w:rsidR="001D4095" w:rsidRPr="001D4095">
              <w:rPr>
                <w:rFonts w:ascii="Times New Roman" w:hAnsi="Times New Roman" w:cs="Times New Roman" w:hint="eastAsia"/>
                <w:sz w:val="18"/>
                <w:szCs w:val="18"/>
              </w:rPr>
              <w:t>8</w:t>
            </w:r>
            <w:r w:rsidR="001D4095">
              <w:rPr>
                <w:rFonts w:ascii="Times New Roman" w:hAnsi="Times New Roman" w:cs="Times New Roman"/>
                <w:sz w:val="18"/>
                <w:szCs w:val="18"/>
              </w:rPr>
              <w:t>,</w:t>
            </w:r>
            <w:r w:rsidR="001D4095" w:rsidRPr="001D4095">
              <w:rPr>
                <w:rFonts w:ascii="Times New Roman" w:hAnsi="Times New Roman" w:cs="Times New Roman" w:hint="eastAsia"/>
                <w:sz w:val="18"/>
                <w:szCs w:val="18"/>
              </w:rPr>
              <w:t>121</w:t>
            </w:r>
            <w:r w:rsidR="001D4095" w:rsidRPr="001D4095">
              <w:rPr>
                <w:rFonts w:ascii="Times New Roman" w:hAnsi="Times New Roman" w:cs="Times New Roman" w:hint="eastAsia"/>
                <w:sz w:val="18"/>
                <w:szCs w:val="18"/>
              </w:rPr>
              <w:t>亿元，同比增长</w:t>
            </w:r>
            <w:r w:rsidR="001D4095" w:rsidRPr="001D4095">
              <w:rPr>
                <w:rFonts w:ascii="Times New Roman" w:hAnsi="Times New Roman" w:cs="Times New Roman" w:hint="eastAsia"/>
                <w:sz w:val="18"/>
                <w:szCs w:val="18"/>
              </w:rPr>
              <w:t>8.1%</w:t>
            </w:r>
            <w:r w:rsidR="00217447">
              <w:rPr>
                <w:rFonts w:ascii="Times New Roman" w:hAnsi="Times New Roman" w:cs="Times New Roman" w:hint="eastAsia"/>
                <w:sz w:val="18"/>
                <w:szCs w:val="18"/>
              </w:rPr>
              <w:t>，比前三季度增长略有加速</w:t>
            </w:r>
            <w:r w:rsidR="001D4095" w:rsidRPr="001D4095">
              <w:rPr>
                <w:rFonts w:ascii="Times New Roman" w:hAnsi="Times New Roman" w:cs="Times New Roman" w:hint="eastAsia"/>
                <w:sz w:val="18"/>
                <w:szCs w:val="18"/>
              </w:rPr>
              <w:t>。</w:t>
            </w:r>
            <w:r w:rsidR="00B542A5">
              <w:rPr>
                <w:rFonts w:ascii="Times New Roman" w:hAnsi="Times New Roman" w:cs="Times New Roman" w:hint="eastAsia"/>
                <w:sz w:val="18"/>
                <w:szCs w:val="18"/>
              </w:rPr>
              <w:t>利润方面，</w:t>
            </w:r>
            <w:r w:rsidR="00764518">
              <w:rPr>
                <w:rFonts w:ascii="Times New Roman" w:hAnsi="Times New Roman" w:cs="Times New Roman" w:hint="eastAsia"/>
                <w:sz w:val="18"/>
                <w:szCs w:val="18"/>
              </w:rPr>
              <w:t>全年实现股东应占</w:t>
            </w:r>
            <w:r w:rsidR="001D4095" w:rsidRPr="001D4095">
              <w:rPr>
                <w:rFonts w:ascii="Times New Roman" w:hAnsi="Times New Roman" w:cs="Times New Roman" w:hint="eastAsia"/>
                <w:sz w:val="18"/>
                <w:szCs w:val="18"/>
              </w:rPr>
              <w:t>净利润</w:t>
            </w:r>
            <w:r w:rsidR="00764518">
              <w:rPr>
                <w:rFonts w:ascii="Times New Roman" w:hAnsi="Times New Roman" w:cs="Times New Roman" w:hint="eastAsia"/>
                <w:sz w:val="18"/>
                <w:szCs w:val="18"/>
              </w:rPr>
              <w:t>达</w:t>
            </w:r>
            <w:r w:rsidR="001D4095" w:rsidRPr="001D4095">
              <w:rPr>
                <w:rFonts w:ascii="Times New Roman" w:hAnsi="Times New Roman" w:cs="Times New Roman" w:hint="eastAsia"/>
                <w:sz w:val="18"/>
                <w:szCs w:val="18"/>
              </w:rPr>
              <w:t>1</w:t>
            </w:r>
            <w:r w:rsidR="00764518">
              <w:rPr>
                <w:rFonts w:ascii="Times New Roman" w:hAnsi="Times New Roman" w:cs="Times New Roman"/>
                <w:sz w:val="18"/>
                <w:szCs w:val="18"/>
              </w:rPr>
              <w:t>,</w:t>
            </w:r>
            <w:r w:rsidR="001D4095" w:rsidRPr="001D4095">
              <w:rPr>
                <w:rFonts w:ascii="Times New Roman" w:hAnsi="Times New Roman" w:cs="Times New Roman" w:hint="eastAsia"/>
                <w:sz w:val="18"/>
                <w:szCs w:val="18"/>
              </w:rPr>
              <w:t>25</w:t>
            </w:r>
            <w:r w:rsidR="00764518">
              <w:rPr>
                <w:rFonts w:ascii="Times New Roman" w:hAnsi="Times New Roman" w:cs="Times New Roman"/>
                <w:sz w:val="18"/>
                <w:szCs w:val="18"/>
              </w:rPr>
              <w:t>5</w:t>
            </w:r>
            <w:r w:rsidR="001D4095" w:rsidRPr="001D4095">
              <w:rPr>
                <w:rFonts w:ascii="Times New Roman" w:hAnsi="Times New Roman" w:cs="Times New Roman" w:hint="eastAsia"/>
                <w:sz w:val="18"/>
                <w:szCs w:val="18"/>
              </w:rPr>
              <w:t>亿元，同比增长</w:t>
            </w:r>
            <w:r w:rsidR="001D4095" w:rsidRPr="001D4095">
              <w:rPr>
                <w:rFonts w:ascii="Times New Roman" w:hAnsi="Times New Roman" w:cs="Times New Roman" w:hint="eastAsia"/>
                <w:sz w:val="18"/>
                <w:szCs w:val="18"/>
              </w:rPr>
              <w:t>8.</w:t>
            </w:r>
            <w:r w:rsidR="00764518">
              <w:rPr>
                <w:rFonts w:ascii="Times New Roman" w:hAnsi="Times New Roman" w:cs="Times New Roman"/>
                <w:sz w:val="18"/>
                <w:szCs w:val="18"/>
              </w:rPr>
              <w:t>0</w:t>
            </w:r>
            <w:r w:rsidR="001D4095" w:rsidRPr="001D4095">
              <w:rPr>
                <w:rFonts w:ascii="Times New Roman" w:hAnsi="Times New Roman" w:cs="Times New Roman" w:hint="eastAsia"/>
                <w:sz w:val="18"/>
                <w:szCs w:val="18"/>
              </w:rPr>
              <w:t>%</w:t>
            </w:r>
            <w:r w:rsidR="003B4205">
              <w:rPr>
                <w:rFonts w:ascii="Times New Roman" w:hAnsi="Times New Roman" w:cs="Times New Roman" w:hint="eastAsia"/>
                <w:sz w:val="18"/>
                <w:szCs w:val="18"/>
              </w:rPr>
              <w:t>，</w:t>
            </w:r>
            <w:r w:rsidR="001D4095" w:rsidRPr="001D4095">
              <w:rPr>
                <w:rFonts w:ascii="Times New Roman" w:hAnsi="Times New Roman" w:cs="Times New Roman" w:hint="eastAsia"/>
                <w:sz w:val="18"/>
                <w:szCs w:val="18"/>
              </w:rPr>
              <w:t>EBITDA</w:t>
            </w:r>
            <w:r w:rsidR="003B4205">
              <w:rPr>
                <w:rFonts w:ascii="Times New Roman" w:hAnsi="Times New Roman" w:cs="Times New Roman" w:hint="eastAsia"/>
                <w:sz w:val="18"/>
                <w:szCs w:val="18"/>
              </w:rPr>
              <w:t>为</w:t>
            </w:r>
            <w:r w:rsidR="001D4095" w:rsidRPr="001D4095">
              <w:rPr>
                <w:rFonts w:ascii="Times New Roman" w:hAnsi="Times New Roman" w:cs="Times New Roman" w:hint="eastAsia"/>
                <w:sz w:val="18"/>
                <w:szCs w:val="18"/>
              </w:rPr>
              <w:t>3</w:t>
            </w:r>
            <w:r w:rsidR="003B4205">
              <w:rPr>
                <w:rFonts w:ascii="Times New Roman" w:hAnsi="Times New Roman" w:cs="Times New Roman"/>
                <w:sz w:val="18"/>
                <w:szCs w:val="18"/>
              </w:rPr>
              <w:t>,</w:t>
            </w:r>
            <w:r w:rsidR="001D4095" w:rsidRPr="001D4095">
              <w:rPr>
                <w:rFonts w:ascii="Times New Roman" w:hAnsi="Times New Roman" w:cs="Times New Roman" w:hint="eastAsia"/>
                <w:sz w:val="18"/>
                <w:szCs w:val="18"/>
              </w:rPr>
              <w:t>29</w:t>
            </w:r>
            <w:r w:rsidR="003711B0">
              <w:rPr>
                <w:rFonts w:ascii="Times New Roman" w:hAnsi="Times New Roman" w:cs="Times New Roman"/>
                <w:sz w:val="18"/>
                <w:szCs w:val="18"/>
              </w:rPr>
              <w:t>2</w:t>
            </w:r>
            <w:r w:rsidR="001D4095" w:rsidRPr="001D4095">
              <w:rPr>
                <w:rFonts w:ascii="Times New Roman" w:hAnsi="Times New Roman" w:cs="Times New Roman" w:hint="eastAsia"/>
                <w:sz w:val="18"/>
                <w:szCs w:val="18"/>
              </w:rPr>
              <w:t>亿元，同比增长</w:t>
            </w:r>
            <w:r w:rsidR="001D4095" w:rsidRPr="001D4095">
              <w:rPr>
                <w:rFonts w:ascii="Times New Roman" w:hAnsi="Times New Roman" w:cs="Times New Roman" w:hint="eastAsia"/>
                <w:sz w:val="18"/>
                <w:szCs w:val="18"/>
              </w:rPr>
              <w:t>5.8%</w:t>
            </w:r>
            <w:r w:rsidR="00B542A5">
              <w:rPr>
                <w:rFonts w:ascii="Times New Roman" w:hAnsi="Times New Roman" w:cs="Times New Roman" w:hint="eastAsia"/>
                <w:sz w:val="18"/>
                <w:szCs w:val="18"/>
              </w:rPr>
              <w:t>，增速相比前三季度提升明显</w:t>
            </w:r>
            <w:r w:rsidR="00E02CDB">
              <w:rPr>
                <w:rFonts w:ascii="Times New Roman" w:hAnsi="Times New Roman" w:cs="Times New Roman" w:hint="eastAsia"/>
                <w:sz w:val="18"/>
                <w:szCs w:val="18"/>
              </w:rPr>
              <w:t>。</w:t>
            </w:r>
            <w:r w:rsidR="00B542A5">
              <w:rPr>
                <w:rFonts w:ascii="Times New Roman" w:hAnsi="Times New Roman" w:cs="Times New Roman" w:hint="eastAsia"/>
                <w:sz w:val="18"/>
                <w:szCs w:val="18"/>
              </w:rPr>
              <w:t>董事会建议</w:t>
            </w:r>
            <w:r w:rsidR="00B542A5">
              <w:rPr>
                <w:rFonts w:ascii="Times New Roman" w:hAnsi="Times New Roman" w:cs="Times New Roman" w:hint="eastAsia"/>
                <w:sz w:val="18"/>
                <w:szCs w:val="18"/>
              </w:rPr>
              <w:t>2</w:t>
            </w:r>
            <w:r w:rsidR="00B542A5">
              <w:rPr>
                <w:rFonts w:ascii="Times New Roman" w:hAnsi="Times New Roman" w:cs="Times New Roman"/>
                <w:sz w:val="18"/>
                <w:szCs w:val="18"/>
              </w:rPr>
              <w:t>022</w:t>
            </w:r>
            <w:r w:rsidR="00B542A5">
              <w:rPr>
                <w:rFonts w:ascii="Times New Roman" w:hAnsi="Times New Roman" w:cs="Times New Roman" w:hint="eastAsia"/>
                <w:sz w:val="18"/>
                <w:szCs w:val="18"/>
              </w:rPr>
              <w:t>年全年派息率为</w:t>
            </w:r>
            <w:r w:rsidR="00B542A5">
              <w:rPr>
                <w:rFonts w:ascii="Times New Roman" w:hAnsi="Times New Roman" w:cs="Times New Roman" w:hint="eastAsia"/>
                <w:sz w:val="18"/>
                <w:szCs w:val="18"/>
              </w:rPr>
              <w:t>6</w:t>
            </w:r>
            <w:r w:rsidR="00B542A5">
              <w:rPr>
                <w:rFonts w:ascii="Times New Roman" w:hAnsi="Times New Roman" w:cs="Times New Roman"/>
                <w:sz w:val="18"/>
                <w:szCs w:val="18"/>
              </w:rPr>
              <w:t>7%</w:t>
            </w:r>
            <w:r w:rsidR="00B542A5">
              <w:rPr>
                <w:rFonts w:ascii="Times New Roman" w:hAnsi="Times New Roman" w:cs="Times New Roman" w:hint="eastAsia"/>
                <w:sz w:val="18"/>
                <w:szCs w:val="18"/>
              </w:rPr>
              <w:t>，向全体股东派发</w:t>
            </w:r>
            <w:r w:rsidR="00B542A5">
              <w:rPr>
                <w:rFonts w:ascii="Times New Roman" w:hAnsi="Times New Roman" w:cs="Times New Roman" w:hint="eastAsia"/>
                <w:sz w:val="18"/>
                <w:szCs w:val="18"/>
              </w:rPr>
              <w:t>2</w:t>
            </w:r>
            <w:r w:rsidR="00B542A5">
              <w:rPr>
                <w:rFonts w:ascii="Times New Roman" w:hAnsi="Times New Roman" w:cs="Times New Roman"/>
                <w:sz w:val="18"/>
                <w:szCs w:val="18"/>
              </w:rPr>
              <w:t>022</w:t>
            </w:r>
            <w:r w:rsidR="00B542A5">
              <w:rPr>
                <w:rFonts w:ascii="Times New Roman" w:hAnsi="Times New Roman" w:cs="Times New Roman" w:hint="eastAsia"/>
                <w:sz w:val="18"/>
                <w:szCs w:val="18"/>
              </w:rPr>
              <w:t>年末期股息每股</w:t>
            </w:r>
            <w:r w:rsidR="00B542A5">
              <w:rPr>
                <w:rFonts w:ascii="Times New Roman" w:hAnsi="Times New Roman" w:cs="Times New Roman" w:hint="eastAsia"/>
                <w:sz w:val="18"/>
                <w:szCs w:val="18"/>
              </w:rPr>
              <w:t>2</w:t>
            </w:r>
            <w:r w:rsidR="00B542A5">
              <w:rPr>
                <w:rFonts w:ascii="Times New Roman" w:hAnsi="Times New Roman" w:cs="Times New Roman"/>
                <w:sz w:val="18"/>
                <w:szCs w:val="18"/>
              </w:rPr>
              <w:t>.21</w:t>
            </w:r>
            <w:r w:rsidR="00B542A5">
              <w:rPr>
                <w:rFonts w:ascii="Times New Roman" w:hAnsi="Times New Roman" w:cs="Times New Roman" w:hint="eastAsia"/>
                <w:sz w:val="18"/>
                <w:szCs w:val="18"/>
              </w:rPr>
              <w:t>港元，连同中期派息全年股息合计每股</w:t>
            </w:r>
            <w:r w:rsidR="00B542A5">
              <w:rPr>
                <w:rFonts w:ascii="Times New Roman" w:hAnsi="Times New Roman" w:cs="Times New Roman" w:hint="eastAsia"/>
                <w:sz w:val="18"/>
                <w:szCs w:val="18"/>
              </w:rPr>
              <w:t>4</w:t>
            </w:r>
            <w:r w:rsidR="00B542A5">
              <w:rPr>
                <w:rFonts w:ascii="Times New Roman" w:hAnsi="Times New Roman" w:cs="Times New Roman"/>
                <w:sz w:val="18"/>
                <w:szCs w:val="18"/>
              </w:rPr>
              <w:t>.41</w:t>
            </w:r>
            <w:r w:rsidR="00B542A5">
              <w:rPr>
                <w:rFonts w:ascii="Times New Roman" w:hAnsi="Times New Roman" w:cs="Times New Roman" w:hint="eastAsia"/>
                <w:sz w:val="18"/>
                <w:szCs w:val="18"/>
              </w:rPr>
              <w:t>港元，同比增长</w:t>
            </w:r>
            <w:r w:rsidR="00B542A5">
              <w:rPr>
                <w:rFonts w:ascii="Times New Roman" w:hAnsi="Times New Roman" w:cs="Times New Roman" w:hint="eastAsia"/>
                <w:sz w:val="18"/>
                <w:szCs w:val="18"/>
              </w:rPr>
              <w:t>8</w:t>
            </w:r>
            <w:r w:rsidR="00B542A5">
              <w:rPr>
                <w:rFonts w:ascii="Times New Roman" w:hAnsi="Times New Roman" w:cs="Times New Roman"/>
                <w:sz w:val="18"/>
                <w:szCs w:val="18"/>
              </w:rPr>
              <w:t>.6%</w:t>
            </w:r>
            <w:r w:rsidR="00B542A5">
              <w:rPr>
                <w:rFonts w:ascii="Times New Roman" w:hAnsi="Times New Roman" w:cs="Times New Roman" w:hint="eastAsia"/>
                <w:sz w:val="18"/>
                <w:szCs w:val="18"/>
              </w:rPr>
              <w:t>。</w:t>
            </w:r>
            <w:r w:rsidR="005D4817">
              <w:rPr>
                <w:rFonts w:ascii="Times New Roman" w:hAnsi="Times New Roman" w:cs="Times New Roman" w:hint="eastAsia"/>
                <w:sz w:val="18"/>
                <w:szCs w:val="18"/>
              </w:rPr>
              <w:t>为了更好地回馈股东，公司宣布</w:t>
            </w:r>
            <w:r w:rsidR="005D4817">
              <w:rPr>
                <w:rFonts w:ascii="Times New Roman" w:hAnsi="Times New Roman" w:cs="Times New Roman"/>
                <w:sz w:val="18"/>
                <w:szCs w:val="18"/>
              </w:rPr>
              <w:t>2023</w:t>
            </w:r>
            <w:r w:rsidR="005D4817">
              <w:rPr>
                <w:rFonts w:ascii="Times New Roman" w:hAnsi="Times New Roman" w:cs="Times New Roman" w:hint="eastAsia"/>
                <w:sz w:val="18"/>
                <w:szCs w:val="18"/>
              </w:rPr>
              <w:t>年以现金方式分配的利润将提升至股东应占净利润的</w:t>
            </w:r>
            <w:r w:rsidR="005D4817">
              <w:rPr>
                <w:rFonts w:ascii="Times New Roman" w:hAnsi="Times New Roman" w:cs="Times New Roman" w:hint="eastAsia"/>
                <w:sz w:val="18"/>
                <w:szCs w:val="18"/>
              </w:rPr>
              <w:t>7</w:t>
            </w:r>
            <w:r w:rsidR="005D4817">
              <w:rPr>
                <w:rFonts w:ascii="Times New Roman" w:hAnsi="Times New Roman" w:cs="Times New Roman"/>
                <w:sz w:val="18"/>
                <w:szCs w:val="18"/>
              </w:rPr>
              <w:t>0%</w:t>
            </w:r>
            <w:r w:rsidR="005D4817">
              <w:rPr>
                <w:rFonts w:ascii="Times New Roman" w:hAnsi="Times New Roman" w:cs="Times New Roman" w:hint="eastAsia"/>
                <w:sz w:val="18"/>
                <w:szCs w:val="18"/>
              </w:rPr>
              <w:t>以上。</w:t>
            </w:r>
          </w:p>
          <w:p w14:paraId="789EF724" w14:textId="54A620DE" w:rsidR="00833716" w:rsidRPr="0065231D" w:rsidRDefault="009237DF" w:rsidP="008507EA">
            <w:pPr>
              <w:spacing w:before="120" w:after="0" w:line="240" w:lineRule="auto"/>
              <w:jc w:val="both"/>
              <w:rPr>
                <w:rFonts w:ascii="Arial" w:hAnsi="Arial" w:cs="Arial"/>
                <w:b/>
                <w:sz w:val="21"/>
                <w:szCs w:val="21"/>
              </w:rPr>
            </w:pPr>
            <w:r>
              <w:rPr>
                <w:rFonts w:ascii="Arial" w:hAnsi="Arial" w:cs="Arial" w:hint="eastAsia"/>
                <w:b/>
                <w:sz w:val="21"/>
                <w:szCs w:val="21"/>
              </w:rPr>
              <w:t>把握数字经济发展红利</w:t>
            </w:r>
            <w:r w:rsidR="00F628C1" w:rsidRPr="0065231D">
              <w:rPr>
                <w:rFonts w:ascii="Arial" w:hAnsi="Arial" w:cs="Arial" w:hint="eastAsia"/>
                <w:b/>
                <w:sz w:val="21"/>
                <w:szCs w:val="21"/>
              </w:rPr>
              <w:t>，</w:t>
            </w:r>
            <w:r>
              <w:rPr>
                <w:rFonts w:ascii="Arial" w:hAnsi="Arial" w:cs="Arial" w:hint="eastAsia"/>
                <w:b/>
                <w:sz w:val="21"/>
                <w:szCs w:val="21"/>
              </w:rPr>
              <w:t>四大市场业务表现优异</w:t>
            </w:r>
          </w:p>
          <w:p w14:paraId="72871E50" w14:textId="789CF7C3" w:rsidR="00C13F1B" w:rsidRDefault="00514AD4" w:rsidP="0073343B">
            <w:pPr>
              <w:pStyle w:val="TopCalls"/>
              <w:jc w:val="both"/>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022</w:t>
            </w:r>
            <w:r>
              <w:rPr>
                <w:rFonts w:ascii="Times New Roman" w:hAnsi="Times New Roman" w:cs="Times New Roman" w:hint="eastAsia"/>
                <w:sz w:val="18"/>
                <w:szCs w:val="18"/>
              </w:rPr>
              <w:t>年，</w:t>
            </w:r>
            <w:r w:rsidR="00290862">
              <w:rPr>
                <w:rFonts w:ascii="Times New Roman" w:hAnsi="Times New Roman" w:cs="Times New Roman" w:hint="eastAsia"/>
                <w:sz w:val="18"/>
                <w:szCs w:val="18"/>
              </w:rPr>
              <w:t>公司</w:t>
            </w:r>
            <w:r w:rsidR="00911F01">
              <w:rPr>
                <w:rFonts w:ascii="Times New Roman" w:hAnsi="Times New Roman" w:cs="Times New Roman" w:hint="eastAsia"/>
                <w:sz w:val="18"/>
                <w:szCs w:val="18"/>
              </w:rPr>
              <w:t>把握数字经济蓬勃发展的红利，</w:t>
            </w:r>
            <w:r w:rsidR="0013152A">
              <w:rPr>
                <w:rFonts w:ascii="Times New Roman" w:hAnsi="Times New Roman" w:cs="Times New Roman" w:hint="eastAsia"/>
                <w:sz w:val="18"/>
                <w:szCs w:val="18"/>
              </w:rPr>
              <w:t>构建高质量信息服务供给体系</w:t>
            </w:r>
            <w:r w:rsidR="008E14D7">
              <w:rPr>
                <w:rFonts w:ascii="Times New Roman" w:hAnsi="Times New Roman" w:cs="Times New Roman" w:hint="eastAsia"/>
                <w:sz w:val="18"/>
                <w:szCs w:val="18"/>
              </w:rPr>
              <w:t>，四大市场业务表现优异</w:t>
            </w:r>
            <w:r w:rsidR="001446DB" w:rsidRPr="00CD6911">
              <w:rPr>
                <w:rFonts w:ascii="Times New Roman" w:hAnsi="Times New Roman" w:cs="Times New Roman" w:hint="eastAsia"/>
                <w:sz w:val="18"/>
                <w:szCs w:val="18"/>
              </w:rPr>
              <w:t>。</w:t>
            </w:r>
            <w:r w:rsidR="00555BD7">
              <w:rPr>
                <w:rFonts w:ascii="Times New Roman" w:hAnsi="Times New Roman" w:cs="Times New Roman" w:hint="eastAsia"/>
                <w:sz w:val="18"/>
                <w:szCs w:val="18"/>
              </w:rPr>
              <w:t>个人市场业务稳中有升</w:t>
            </w:r>
            <w:r w:rsidR="00046B56">
              <w:rPr>
                <w:rFonts w:ascii="Times New Roman" w:hAnsi="Times New Roman" w:cs="Times New Roman" w:hint="eastAsia"/>
                <w:sz w:val="18"/>
                <w:szCs w:val="18"/>
              </w:rPr>
              <w:t>，</w:t>
            </w:r>
            <w:r w:rsidR="00596BB4">
              <w:rPr>
                <w:rFonts w:ascii="Times New Roman" w:hAnsi="Times New Roman" w:cs="Times New Roman" w:hint="eastAsia"/>
                <w:sz w:val="18"/>
                <w:szCs w:val="18"/>
              </w:rPr>
              <w:t>全年收入达到</w:t>
            </w:r>
            <w:r w:rsidR="00596BB4">
              <w:rPr>
                <w:rFonts w:ascii="Times New Roman" w:hAnsi="Times New Roman" w:cs="Times New Roman" w:hint="eastAsia"/>
                <w:sz w:val="18"/>
                <w:szCs w:val="18"/>
              </w:rPr>
              <w:t>4</w:t>
            </w:r>
            <w:r w:rsidR="00596BB4">
              <w:rPr>
                <w:rFonts w:ascii="Times New Roman" w:hAnsi="Times New Roman" w:cs="Times New Roman"/>
                <w:sz w:val="18"/>
                <w:szCs w:val="18"/>
              </w:rPr>
              <w:t>,888</w:t>
            </w:r>
            <w:r w:rsidR="00596BB4">
              <w:rPr>
                <w:rFonts w:ascii="Times New Roman" w:hAnsi="Times New Roman" w:cs="Times New Roman" w:hint="eastAsia"/>
                <w:sz w:val="18"/>
                <w:szCs w:val="18"/>
              </w:rPr>
              <w:t>亿元，同比增长</w:t>
            </w:r>
            <w:r w:rsidR="00596BB4">
              <w:rPr>
                <w:rFonts w:ascii="Times New Roman" w:hAnsi="Times New Roman" w:cs="Times New Roman" w:hint="eastAsia"/>
                <w:sz w:val="18"/>
                <w:szCs w:val="18"/>
              </w:rPr>
              <w:t>1</w:t>
            </w:r>
            <w:r w:rsidR="00596BB4">
              <w:rPr>
                <w:rFonts w:ascii="Times New Roman" w:hAnsi="Times New Roman" w:cs="Times New Roman"/>
                <w:sz w:val="18"/>
                <w:szCs w:val="18"/>
              </w:rPr>
              <w:t>.1%</w:t>
            </w:r>
            <w:r w:rsidR="00596BB4">
              <w:rPr>
                <w:rFonts w:ascii="Times New Roman" w:hAnsi="Times New Roman" w:cs="Times New Roman" w:hint="eastAsia"/>
                <w:sz w:val="18"/>
                <w:szCs w:val="18"/>
              </w:rPr>
              <w:t>；移动用户</w:t>
            </w:r>
            <w:r w:rsidR="00596BB4">
              <w:rPr>
                <w:rFonts w:ascii="Times New Roman" w:hAnsi="Times New Roman" w:cs="Times New Roman" w:hint="eastAsia"/>
                <w:sz w:val="18"/>
                <w:szCs w:val="18"/>
              </w:rPr>
              <w:t>9</w:t>
            </w:r>
            <w:r w:rsidR="00596BB4">
              <w:rPr>
                <w:rFonts w:ascii="Times New Roman" w:hAnsi="Times New Roman" w:cs="Times New Roman"/>
                <w:sz w:val="18"/>
                <w:szCs w:val="18"/>
              </w:rPr>
              <w:t>.75</w:t>
            </w:r>
            <w:r w:rsidR="00596BB4">
              <w:rPr>
                <w:rFonts w:ascii="Times New Roman" w:hAnsi="Times New Roman" w:cs="Times New Roman" w:hint="eastAsia"/>
                <w:sz w:val="18"/>
                <w:szCs w:val="18"/>
              </w:rPr>
              <w:t>亿户，净增</w:t>
            </w:r>
            <w:r w:rsidR="00596BB4">
              <w:rPr>
                <w:rFonts w:ascii="Times New Roman" w:hAnsi="Times New Roman" w:cs="Times New Roman" w:hint="eastAsia"/>
                <w:sz w:val="18"/>
                <w:szCs w:val="18"/>
              </w:rPr>
              <w:t>1,</w:t>
            </w:r>
            <w:r w:rsidR="00596BB4">
              <w:rPr>
                <w:rFonts w:ascii="Times New Roman" w:hAnsi="Times New Roman" w:cs="Times New Roman"/>
                <w:sz w:val="18"/>
                <w:szCs w:val="18"/>
              </w:rPr>
              <w:t>811</w:t>
            </w:r>
            <w:r w:rsidR="00596BB4">
              <w:rPr>
                <w:rFonts w:ascii="Times New Roman" w:hAnsi="Times New Roman" w:cs="Times New Roman" w:hint="eastAsia"/>
                <w:sz w:val="18"/>
                <w:szCs w:val="18"/>
              </w:rPr>
              <w:t>万户，净增规模创三年新高；移动</w:t>
            </w:r>
            <w:r w:rsidR="00596BB4">
              <w:rPr>
                <w:rFonts w:ascii="Times New Roman" w:hAnsi="Times New Roman" w:cs="Times New Roman" w:hint="eastAsia"/>
                <w:sz w:val="18"/>
                <w:szCs w:val="18"/>
              </w:rPr>
              <w:t>A</w:t>
            </w:r>
            <w:r w:rsidR="00596BB4">
              <w:rPr>
                <w:rFonts w:ascii="Times New Roman" w:hAnsi="Times New Roman" w:cs="Times New Roman"/>
                <w:sz w:val="18"/>
                <w:szCs w:val="18"/>
              </w:rPr>
              <w:t>RPU</w:t>
            </w:r>
            <w:r w:rsidR="00596BB4">
              <w:rPr>
                <w:rFonts w:ascii="Times New Roman" w:hAnsi="Times New Roman" w:cs="Times New Roman" w:hint="eastAsia"/>
                <w:sz w:val="18"/>
                <w:szCs w:val="18"/>
              </w:rPr>
              <w:t>为</w:t>
            </w:r>
            <w:r w:rsidR="00596BB4">
              <w:rPr>
                <w:rFonts w:ascii="Times New Roman" w:hAnsi="Times New Roman" w:cs="Times New Roman" w:hint="eastAsia"/>
                <w:sz w:val="18"/>
                <w:szCs w:val="18"/>
              </w:rPr>
              <w:t>4</w:t>
            </w:r>
            <w:r w:rsidR="00596BB4">
              <w:rPr>
                <w:rFonts w:ascii="Times New Roman" w:hAnsi="Times New Roman" w:cs="Times New Roman"/>
                <w:sz w:val="18"/>
                <w:szCs w:val="18"/>
              </w:rPr>
              <w:t>9.0</w:t>
            </w:r>
            <w:r w:rsidR="00596BB4">
              <w:rPr>
                <w:rFonts w:ascii="Times New Roman" w:hAnsi="Times New Roman" w:cs="Times New Roman" w:hint="eastAsia"/>
                <w:sz w:val="18"/>
                <w:szCs w:val="18"/>
              </w:rPr>
              <w:t>元，同比增长</w:t>
            </w:r>
            <w:r w:rsidR="00596BB4">
              <w:rPr>
                <w:rFonts w:ascii="Times New Roman" w:hAnsi="Times New Roman" w:cs="Times New Roman" w:hint="eastAsia"/>
                <w:sz w:val="18"/>
                <w:szCs w:val="18"/>
              </w:rPr>
              <w:t>0</w:t>
            </w:r>
            <w:r w:rsidR="00596BB4">
              <w:rPr>
                <w:rFonts w:ascii="Times New Roman" w:hAnsi="Times New Roman" w:cs="Times New Roman"/>
                <w:sz w:val="18"/>
                <w:szCs w:val="18"/>
              </w:rPr>
              <w:t>.4%</w:t>
            </w:r>
            <w:r w:rsidR="00596BB4">
              <w:rPr>
                <w:rFonts w:ascii="Times New Roman" w:hAnsi="Times New Roman" w:cs="Times New Roman" w:hint="eastAsia"/>
                <w:sz w:val="18"/>
                <w:szCs w:val="18"/>
              </w:rPr>
              <w:t>。</w:t>
            </w:r>
            <w:r w:rsidR="009F6A53">
              <w:rPr>
                <w:rFonts w:ascii="Times New Roman" w:hAnsi="Times New Roman" w:cs="Times New Roman" w:hint="eastAsia"/>
                <w:sz w:val="18"/>
                <w:szCs w:val="18"/>
              </w:rPr>
              <w:t>家庭市场业务保持快速增长，全年收入达</w:t>
            </w:r>
            <w:r w:rsidR="009F6A53">
              <w:rPr>
                <w:rFonts w:ascii="Times New Roman" w:hAnsi="Times New Roman" w:cs="Times New Roman" w:hint="eastAsia"/>
                <w:sz w:val="18"/>
                <w:szCs w:val="18"/>
              </w:rPr>
              <w:t>1</w:t>
            </w:r>
            <w:r w:rsidR="009F6A53">
              <w:rPr>
                <w:rFonts w:ascii="Times New Roman" w:hAnsi="Times New Roman" w:cs="Times New Roman"/>
                <w:sz w:val="18"/>
                <w:szCs w:val="18"/>
              </w:rPr>
              <w:t>,166</w:t>
            </w:r>
            <w:r w:rsidR="009F6A53">
              <w:rPr>
                <w:rFonts w:ascii="Times New Roman" w:hAnsi="Times New Roman" w:cs="Times New Roman" w:hint="eastAsia"/>
                <w:sz w:val="18"/>
                <w:szCs w:val="18"/>
              </w:rPr>
              <w:t>亿元，同比增长</w:t>
            </w:r>
            <w:r w:rsidR="009F6A53">
              <w:rPr>
                <w:rFonts w:ascii="Times New Roman" w:hAnsi="Times New Roman" w:cs="Times New Roman" w:hint="eastAsia"/>
                <w:sz w:val="18"/>
                <w:szCs w:val="18"/>
              </w:rPr>
              <w:t>1</w:t>
            </w:r>
            <w:r w:rsidR="009F6A53">
              <w:rPr>
                <w:rFonts w:ascii="Times New Roman" w:hAnsi="Times New Roman" w:cs="Times New Roman"/>
                <w:sz w:val="18"/>
                <w:szCs w:val="18"/>
              </w:rPr>
              <w:t>6.0%</w:t>
            </w:r>
            <w:r w:rsidR="009F6A53">
              <w:rPr>
                <w:rFonts w:ascii="Times New Roman" w:hAnsi="Times New Roman" w:cs="Times New Roman" w:hint="eastAsia"/>
                <w:sz w:val="18"/>
                <w:szCs w:val="18"/>
              </w:rPr>
              <w:t>；家庭宽带客户达到</w:t>
            </w:r>
            <w:r w:rsidR="009F6A53">
              <w:rPr>
                <w:rFonts w:ascii="Times New Roman" w:hAnsi="Times New Roman" w:cs="Times New Roman" w:hint="eastAsia"/>
                <w:sz w:val="18"/>
                <w:szCs w:val="18"/>
              </w:rPr>
              <w:t>2</w:t>
            </w:r>
            <w:r w:rsidR="009F6A53">
              <w:rPr>
                <w:rFonts w:ascii="Times New Roman" w:hAnsi="Times New Roman" w:cs="Times New Roman"/>
                <w:sz w:val="18"/>
                <w:szCs w:val="18"/>
              </w:rPr>
              <w:t>.44</w:t>
            </w:r>
            <w:r w:rsidR="009F6A53">
              <w:rPr>
                <w:rFonts w:ascii="Times New Roman" w:hAnsi="Times New Roman" w:cs="Times New Roman" w:hint="eastAsia"/>
                <w:sz w:val="18"/>
                <w:szCs w:val="18"/>
              </w:rPr>
              <w:t>亿户，净增</w:t>
            </w:r>
            <w:r w:rsidR="009F6A53">
              <w:rPr>
                <w:rFonts w:ascii="Times New Roman" w:hAnsi="Times New Roman" w:cs="Times New Roman" w:hint="eastAsia"/>
                <w:sz w:val="18"/>
                <w:szCs w:val="18"/>
              </w:rPr>
              <w:t>2</w:t>
            </w:r>
            <w:r w:rsidR="009F6A53">
              <w:rPr>
                <w:rFonts w:ascii="Times New Roman" w:hAnsi="Times New Roman" w:cs="Times New Roman"/>
                <w:sz w:val="18"/>
                <w:szCs w:val="18"/>
              </w:rPr>
              <w:t>,578</w:t>
            </w:r>
            <w:r w:rsidR="009F6A53">
              <w:rPr>
                <w:rFonts w:ascii="Times New Roman" w:hAnsi="Times New Roman" w:cs="Times New Roman" w:hint="eastAsia"/>
                <w:sz w:val="18"/>
                <w:szCs w:val="18"/>
              </w:rPr>
              <w:t>万户；家庭客户</w:t>
            </w:r>
            <w:r w:rsidR="009F6A53">
              <w:rPr>
                <w:rFonts w:ascii="Times New Roman" w:hAnsi="Times New Roman" w:cs="Times New Roman" w:hint="eastAsia"/>
                <w:sz w:val="18"/>
                <w:szCs w:val="18"/>
              </w:rPr>
              <w:t>A</w:t>
            </w:r>
            <w:r w:rsidR="009F6A53">
              <w:rPr>
                <w:rFonts w:ascii="Times New Roman" w:hAnsi="Times New Roman" w:cs="Times New Roman"/>
                <w:sz w:val="18"/>
                <w:szCs w:val="18"/>
              </w:rPr>
              <w:t>RPU</w:t>
            </w:r>
            <w:r w:rsidR="009F6A53">
              <w:rPr>
                <w:rFonts w:ascii="Times New Roman" w:hAnsi="Times New Roman" w:cs="Times New Roman" w:hint="eastAsia"/>
                <w:sz w:val="18"/>
                <w:szCs w:val="18"/>
              </w:rPr>
              <w:t>达到</w:t>
            </w:r>
            <w:r w:rsidR="009F6A53">
              <w:rPr>
                <w:rFonts w:ascii="Times New Roman" w:hAnsi="Times New Roman" w:cs="Times New Roman" w:hint="eastAsia"/>
                <w:sz w:val="18"/>
                <w:szCs w:val="18"/>
              </w:rPr>
              <w:t>4</w:t>
            </w:r>
            <w:r w:rsidR="009F6A53">
              <w:rPr>
                <w:rFonts w:ascii="Times New Roman" w:hAnsi="Times New Roman" w:cs="Times New Roman"/>
                <w:sz w:val="18"/>
                <w:szCs w:val="18"/>
              </w:rPr>
              <w:t>2.1</w:t>
            </w:r>
            <w:r w:rsidR="009F6A53">
              <w:rPr>
                <w:rFonts w:ascii="Times New Roman" w:hAnsi="Times New Roman" w:cs="Times New Roman" w:hint="eastAsia"/>
                <w:sz w:val="18"/>
                <w:szCs w:val="18"/>
              </w:rPr>
              <w:t>元，同比增长</w:t>
            </w:r>
            <w:r w:rsidR="009F6A53">
              <w:rPr>
                <w:rFonts w:ascii="Times New Roman" w:hAnsi="Times New Roman" w:cs="Times New Roman" w:hint="eastAsia"/>
                <w:sz w:val="18"/>
                <w:szCs w:val="18"/>
              </w:rPr>
              <w:t>5</w:t>
            </w:r>
            <w:r w:rsidR="009F6A53">
              <w:rPr>
                <w:rFonts w:ascii="Times New Roman" w:hAnsi="Times New Roman" w:cs="Times New Roman"/>
                <w:sz w:val="18"/>
                <w:szCs w:val="18"/>
              </w:rPr>
              <w:t>.8%</w:t>
            </w:r>
            <w:r w:rsidR="009F6A53">
              <w:rPr>
                <w:rFonts w:ascii="Times New Roman" w:hAnsi="Times New Roman" w:cs="Times New Roman" w:hint="eastAsia"/>
                <w:sz w:val="18"/>
                <w:szCs w:val="18"/>
              </w:rPr>
              <w:t>。政企市场业务</w:t>
            </w:r>
            <w:r w:rsidR="00FC1468">
              <w:rPr>
                <w:rFonts w:ascii="Times New Roman" w:hAnsi="Times New Roman" w:cs="Times New Roman" w:hint="eastAsia"/>
                <w:sz w:val="18"/>
                <w:szCs w:val="18"/>
              </w:rPr>
              <w:t>保持强劲增长</w:t>
            </w:r>
            <w:r w:rsidR="009F6A53">
              <w:rPr>
                <w:rFonts w:ascii="Times New Roman" w:hAnsi="Times New Roman" w:cs="Times New Roman" w:hint="eastAsia"/>
                <w:sz w:val="18"/>
                <w:szCs w:val="18"/>
              </w:rPr>
              <w:t>，全年收入达</w:t>
            </w:r>
            <w:r w:rsidR="009F6A53">
              <w:rPr>
                <w:rFonts w:ascii="Times New Roman" w:hAnsi="Times New Roman" w:cs="Times New Roman" w:hint="eastAsia"/>
                <w:sz w:val="18"/>
                <w:szCs w:val="18"/>
              </w:rPr>
              <w:t>1,</w:t>
            </w:r>
            <w:r w:rsidR="009F6A53">
              <w:rPr>
                <w:rFonts w:ascii="Times New Roman" w:hAnsi="Times New Roman" w:cs="Times New Roman"/>
                <w:sz w:val="18"/>
                <w:szCs w:val="18"/>
              </w:rPr>
              <w:t>682</w:t>
            </w:r>
            <w:r w:rsidR="009F6A53">
              <w:rPr>
                <w:rFonts w:ascii="Times New Roman" w:hAnsi="Times New Roman" w:cs="Times New Roman" w:hint="eastAsia"/>
                <w:sz w:val="18"/>
                <w:szCs w:val="18"/>
              </w:rPr>
              <w:t>亿元，同比增长</w:t>
            </w:r>
            <w:r w:rsidR="009F6A53">
              <w:rPr>
                <w:rFonts w:ascii="Times New Roman" w:hAnsi="Times New Roman" w:cs="Times New Roman" w:hint="eastAsia"/>
                <w:sz w:val="18"/>
                <w:szCs w:val="18"/>
              </w:rPr>
              <w:t>2</w:t>
            </w:r>
            <w:r w:rsidR="009F6A53">
              <w:rPr>
                <w:rFonts w:ascii="Times New Roman" w:hAnsi="Times New Roman" w:cs="Times New Roman"/>
                <w:sz w:val="18"/>
                <w:szCs w:val="18"/>
              </w:rPr>
              <w:t>2.6%</w:t>
            </w:r>
            <w:r w:rsidR="009F6A53">
              <w:rPr>
                <w:rFonts w:ascii="Times New Roman" w:hAnsi="Times New Roman" w:cs="Times New Roman" w:hint="eastAsia"/>
                <w:sz w:val="18"/>
                <w:szCs w:val="18"/>
              </w:rPr>
              <w:t>；政企客户数达到</w:t>
            </w:r>
            <w:r w:rsidR="009F6A53">
              <w:rPr>
                <w:rFonts w:ascii="Times New Roman" w:hAnsi="Times New Roman" w:cs="Times New Roman" w:hint="eastAsia"/>
                <w:sz w:val="18"/>
                <w:szCs w:val="18"/>
              </w:rPr>
              <w:t>2</w:t>
            </w:r>
            <w:r w:rsidR="009F6A53">
              <w:rPr>
                <w:rFonts w:ascii="Times New Roman" w:hAnsi="Times New Roman" w:cs="Times New Roman"/>
                <w:sz w:val="18"/>
                <w:szCs w:val="18"/>
              </w:rPr>
              <w:t>,320</w:t>
            </w:r>
            <w:r w:rsidR="009F6A53">
              <w:rPr>
                <w:rFonts w:ascii="Times New Roman" w:hAnsi="Times New Roman" w:cs="Times New Roman" w:hint="eastAsia"/>
                <w:sz w:val="18"/>
                <w:szCs w:val="18"/>
              </w:rPr>
              <w:t>万家，净增</w:t>
            </w:r>
            <w:r w:rsidR="009F6A53">
              <w:rPr>
                <w:rFonts w:ascii="Times New Roman" w:hAnsi="Times New Roman" w:cs="Times New Roman" w:hint="eastAsia"/>
                <w:sz w:val="18"/>
                <w:szCs w:val="18"/>
              </w:rPr>
              <w:t>4</w:t>
            </w:r>
            <w:r w:rsidR="009F6A53">
              <w:rPr>
                <w:rFonts w:ascii="Times New Roman" w:hAnsi="Times New Roman" w:cs="Times New Roman"/>
                <w:sz w:val="18"/>
                <w:szCs w:val="18"/>
              </w:rPr>
              <w:t>37</w:t>
            </w:r>
            <w:r w:rsidR="009F6A53">
              <w:rPr>
                <w:rFonts w:ascii="Times New Roman" w:hAnsi="Times New Roman" w:cs="Times New Roman" w:hint="eastAsia"/>
                <w:sz w:val="18"/>
                <w:szCs w:val="18"/>
              </w:rPr>
              <w:t>万家</w:t>
            </w:r>
            <w:r w:rsidR="00950F2C">
              <w:rPr>
                <w:rFonts w:ascii="Times New Roman" w:hAnsi="Times New Roman" w:cs="Times New Roman" w:hint="eastAsia"/>
                <w:sz w:val="18"/>
                <w:szCs w:val="18"/>
              </w:rPr>
              <w:t>；其中移动云收入达</w:t>
            </w:r>
            <w:r w:rsidR="00950F2C">
              <w:rPr>
                <w:rFonts w:ascii="Times New Roman" w:hAnsi="Times New Roman" w:cs="Times New Roman" w:hint="eastAsia"/>
                <w:sz w:val="18"/>
                <w:szCs w:val="18"/>
              </w:rPr>
              <w:t>5</w:t>
            </w:r>
            <w:r w:rsidR="00950F2C">
              <w:rPr>
                <w:rFonts w:ascii="Times New Roman" w:hAnsi="Times New Roman" w:cs="Times New Roman"/>
                <w:sz w:val="18"/>
                <w:szCs w:val="18"/>
              </w:rPr>
              <w:t>03</w:t>
            </w:r>
            <w:r w:rsidR="00950F2C">
              <w:rPr>
                <w:rFonts w:ascii="Times New Roman" w:hAnsi="Times New Roman" w:cs="Times New Roman" w:hint="eastAsia"/>
                <w:sz w:val="18"/>
                <w:szCs w:val="18"/>
              </w:rPr>
              <w:t>亿元，同比增长</w:t>
            </w:r>
            <w:r w:rsidR="00950F2C">
              <w:rPr>
                <w:rFonts w:ascii="Times New Roman" w:hAnsi="Times New Roman" w:cs="Times New Roman" w:hint="eastAsia"/>
                <w:sz w:val="18"/>
                <w:szCs w:val="18"/>
              </w:rPr>
              <w:t>1</w:t>
            </w:r>
            <w:r w:rsidR="00950F2C">
              <w:rPr>
                <w:rFonts w:ascii="Times New Roman" w:hAnsi="Times New Roman" w:cs="Times New Roman"/>
                <w:sz w:val="18"/>
                <w:szCs w:val="18"/>
              </w:rPr>
              <w:t>08.1%</w:t>
            </w:r>
            <w:r w:rsidR="00950F2C">
              <w:rPr>
                <w:rFonts w:ascii="Times New Roman" w:hAnsi="Times New Roman" w:cs="Times New Roman" w:hint="eastAsia"/>
                <w:sz w:val="18"/>
                <w:szCs w:val="18"/>
              </w:rPr>
              <w:t>，签约云大单超</w:t>
            </w:r>
            <w:r w:rsidR="00950F2C">
              <w:rPr>
                <w:rFonts w:ascii="Times New Roman" w:hAnsi="Times New Roman" w:cs="Times New Roman" w:hint="eastAsia"/>
                <w:sz w:val="18"/>
                <w:szCs w:val="18"/>
              </w:rPr>
              <w:t>6</w:t>
            </w:r>
            <w:r w:rsidR="00950F2C">
              <w:rPr>
                <w:rFonts w:ascii="Times New Roman" w:hAnsi="Times New Roman" w:cs="Times New Roman"/>
                <w:sz w:val="18"/>
                <w:szCs w:val="18"/>
              </w:rPr>
              <w:t>,200</w:t>
            </w:r>
            <w:r w:rsidR="00950F2C">
              <w:rPr>
                <w:rFonts w:ascii="Times New Roman" w:hAnsi="Times New Roman" w:cs="Times New Roman" w:hint="eastAsia"/>
                <w:sz w:val="18"/>
                <w:szCs w:val="18"/>
              </w:rPr>
              <w:t>个，拉动收入超过</w:t>
            </w:r>
            <w:r w:rsidR="00950F2C">
              <w:rPr>
                <w:rFonts w:ascii="Times New Roman" w:hAnsi="Times New Roman" w:cs="Times New Roman" w:hint="eastAsia"/>
                <w:sz w:val="18"/>
                <w:szCs w:val="18"/>
              </w:rPr>
              <w:t>2</w:t>
            </w:r>
            <w:r w:rsidR="00950F2C">
              <w:rPr>
                <w:rFonts w:ascii="Times New Roman" w:hAnsi="Times New Roman" w:cs="Times New Roman"/>
                <w:sz w:val="18"/>
                <w:szCs w:val="18"/>
              </w:rPr>
              <w:t>25</w:t>
            </w:r>
            <w:r w:rsidR="00950F2C">
              <w:rPr>
                <w:rFonts w:ascii="Times New Roman" w:hAnsi="Times New Roman" w:cs="Times New Roman" w:hint="eastAsia"/>
                <w:sz w:val="18"/>
                <w:szCs w:val="18"/>
              </w:rPr>
              <w:t>亿元。新兴市场业务实现高速增长，全年收入达</w:t>
            </w:r>
            <w:r w:rsidR="00950F2C">
              <w:rPr>
                <w:rFonts w:ascii="Times New Roman" w:hAnsi="Times New Roman" w:cs="Times New Roman" w:hint="eastAsia"/>
                <w:sz w:val="18"/>
                <w:szCs w:val="18"/>
              </w:rPr>
              <w:t>1</w:t>
            </w:r>
            <w:r w:rsidR="00950F2C">
              <w:rPr>
                <w:rFonts w:ascii="Times New Roman" w:hAnsi="Times New Roman" w:cs="Times New Roman"/>
                <w:sz w:val="18"/>
                <w:szCs w:val="18"/>
              </w:rPr>
              <w:t>67</w:t>
            </w:r>
            <w:r w:rsidR="00950F2C">
              <w:rPr>
                <w:rFonts w:ascii="Times New Roman" w:hAnsi="Times New Roman" w:cs="Times New Roman" w:hint="eastAsia"/>
                <w:sz w:val="18"/>
                <w:szCs w:val="18"/>
              </w:rPr>
              <w:t>亿元，同比增长</w:t>
            </w:r>
            <w:r w:rsidR="00950F2C">
              <w:rPr>
                <w:rFonts w:ascii="Times New Roman" w:hAnsi="Times New Roman" w:cs="Times New Roman" w:hint="eastAsia"/>
                <w:sz w:val="18"/>
                <w:szCs w:val="18"/>
              </w:rPr>
              <w:t>2</w:t>
            </w:r>
            <w:r w:rsidR="00950F2C">
              <w:rPr>
                <w:rFonts w:ascii="Times New Roman" w:hAnsi="Times New Roman" w:cs="Times New Roman"/>
                <w:sz w:val="18"/>
                <w:szCs w:val="18"/>
              </w:rPr>
              <w:t>6.9%</w:t>
            </w:r>
            <w:r w:rsidR="00950F2C">
              <w:rPr>
                <w:rFonts w:ascii="Times New Roman" w:hAnsi="Times New Roman" w:cs="Times New Roman" w:hint="eastAsia"/>
                <w:sz w:val="18"/>
                <w:szCs w:val="18"/>
              </w:rPr>
              <w:t>；其中国际业务收入达</w:t>
            </w:r>
            <w:r w:rsidR="00950F2C">
              <w:rPr>
                <w:rFonts w:ascii="Times New Roman" w:hAnsi="Times New Roman" w:cs="Times New Roman" w:hint="eastAsia"/>
                <w:sz w:val="18"/>
                <w:szCs w:val="18"/>
              </w:rPr>
              <w:t>1</w:t>
            </w:r>
            <w:r w:rsidR="00950F2C">
              <w:rPr>
                <w:rFonts w:ascii="Times New Roman" w:hAnsi="Times New Roman" w:cs="Times New Roman"/>
                <w:sz w:val="18"/>
                <w:szCs w:val="18"/>
              </w:rPr>
              <w:t>67</w:t>
            </w:r>
            <w:r w:rsidR="00950F2C">
              <w:rPr>
                <w:rFonts w:ascii="Times New Roman" w:hAnsi="Times New Roman" w:cs="Times New Roman" w:hint="eastAsia"/>
                <w:sz w:val="18"/>
                <w:szCs w:val="18"/>
              </w:rPr>
              <w:t>亿元，同比增长</w:t>
            </w:r>
            <w:r w:rsidR="00950F2C">
              <w:rPr>
                <w:rFonts w:ascii="Times New Roman" w:hAnsi="Times New Roman" w:cs="Times New Roman" w:hint="eastAsia"/>
                <w:sz w:val="18"/>
                <w:szCs w:val="18"/>
              </w:rPr>
              <w:t>2</w:t>
            </w:r>
            <w:r w:rsidR="00950F2C">
              <w:rPr>
                <w:rFonts w:ascii="Times New Roman" w:hAnsi="Times New Roman" w:cs="Times New Roman"/>
                <w:sz w:val="18"/>
                <w:szCs w:val="18"/>
              </w:rPr>
              <w:t>5.4%</w:t>
            </w:r>
            <w:r w:rsidR="00950F2C">
              <w:rPr>
                <w:rFonts w:ascii="Times New Roman" w:hAnsi="Times New Roman" w:cs="Times New Roman" w:hint="eastAsia"/>
                <w:sz w:val="18"/>
                <w:szCs w:val="18"/>
              </w:rPr>
              <w:t>，咪咕视频、云游戏等数字内容收入达</w:t>
            </w:r>
            <w:r w:rsidR="00950F2C">
              <w:rPr>
                <w:rFonts w:ascii="Times New Roman" w:hAnsi="Times New Roman" w:cs="Times New Roman" w:hint="eastAsia"/>
                <w:sz w:val="18"/>
                <w:szCs w:val="18"/>
              </w:rPr>
              <w:t>2</w:t>
            </w:r>
            <w:r w:rsidR="00950F2C">
              <w:rPr>
                <w:rFonts w:ascii="Times New Roman" w:hAnsi="Times New Roman" w:cs="Times New Roman"/>
                <w:sz w:val="18"/>
                <w:szCs w:val="18"/>
              </w:rPr>
              <w:t>13</w:t>
            </w:r>
            <w:r w:rsidR="00950F2C">
              <w:rPr>
                <w:rFonts w:ascii="Times New Roman" w:hAnsi="Times New Roman" w:cs="Times New Roman" w:hint="eastAsia"/>
                <w:sz w:val="18"/>
                <w:szCs w:val="18"/>
              </w:rPr>
              <w:t>亿元，同比增长</w:t>
            </w:r>
            <w:r w:rsidR="00950F2C">
              <w:rPr>
                <w:rFonts w:ascii="Times New Roman" w:hAnsi="Times New Roman" w:cs="Times New Roman" w:hint="eastAsia"/>
                <w:sz w:val="18"/>
                <w:szCs w:val="18"/>
              </w:rPr>
              <w:t>2</w:t>
            </w:r>
            <w:r w:rsidR="00950F2C">
              <w:rPr>
                <w:rFonts w:ascii="Times New Roman" w:hAnsi="Times New Roman" w:cs="Times New Roman"/>
                <w:sz w:val="18"/>
                <w:szCs w:val="18"/>
              </w:rPr>
              <w:t>7.2%</w:t>
            </w:r>
            <w:r w:rsidR="00950F2C">
              <w:rPr>
                <w:rFonts w:ascii="Times New Roman" w:hAnsi="Times New Roman" w:cs="Times New Roman" w:hint="eastAsia"/>
                <w:sz w:val="18"/>
                <w:szCs w:val="18"/>
              </w:rPr>
              <w:t>。</w:t>
            </w:r>
          </w:p>
          <w:p w14:paraId="12B32C1F" w14:textId="1BC9915E" w:rsidR="00833716" w:rsidRPr="0065231D" w:rsidRDefault="00F8657E" w:rsidP="008507EA">
            <w:pPr>
              <w:spacing w:before="120" w:after="0" w:line="240" w:lineRule="auto"/>
              <w:jc w:val="both"/>
              <w:rPr>
                <w:rFonts w:ascii="Arial" w:hAnsi="Arial" w:cs="Arial"/>
                <w:b/>
                <w:sz w:val="21"/>
                <w:szCs w:val="21"/>
              </w:rPr>
            </w:pPr>
            <w:r>
              <w:rPr>
                <w:rFonts w:ascii="Arial" w:hAnsi="Arial" w:cs="Arial" w:hint="eastAsia"/>
                <w:b/>
                <w:sz w:val="21"/>
                <w:szCs w:val="21"/>
              </w:rPr>
              <w:t>经营成本</w:t>
            </w:r>
            <w:r w:rsidR="0030492D">
              <w:rPr>
                <w:rFonts w:ascii="Arial" w:hAnsi="Arial" w:cs="Arial" w:hint="eastAsia"/>
                <w:b/>
                <w:sz w:val="21"/>
                <w:szCs w:val="21"/>
              </w:rPr>
              <w:t>控制</w:t>
            </w:r>
            <w:r w:rsidR="00C13F1B">
              <w:rPr>
                <w:rFonts w:ascii="Arial" w:hAnsi="Arial" w:cs="Arial" w:hint="eastAsia"/>
                <w:b/>
                <w:sz w:val="21"/>
                <w:szCs w:val="21"/>
              </w:rPr>
              <w:t>卓有成效</w:t>
            </w:r>
            <w:r w:rsidR="0030492D">
              <w:rPr>
                <w:rFonts w:ascii="Arial" w:hAnsi="Arial" w:cs="Arial" w:hint="eastAsia"/>
                <w:b/>
                <w:sz w:val="21"/>
                <w:szCs w:val="21"/>
              </w:rPr>
              <w:t>，</w:t>
            </w:r>
            <w:r>
              <w:rPr>
                <w:rFonts w:ascii="Arial" w:hAnsi="Arial" w:cs="Arial" w:hint="eastAsia"/>
                <w:b/>
                <w:sz w:val="21"/>
                <w:szCs w:val="21"/>
              </w:rPr>
              <w:t>资本开支</w:t>
            </w:r>
            <w:r w:rsidR="0030492D">
              <w:rPr>
                <w:rFonts w:ascii="Arial" w:hAnsi="Arial" w:cs="Arial" w:hint="eastAsia"/>
                <w:b/>
                <w:sz w:val="21"/>
                <w:szCs w:val="21"/>
              </w:rPr>
              <w:t>进入到下行周期</w:t>
            </w:r>
          </w:p>
          <w:p w14:paraId="7EB0619F" w14:textId="4B4FE058" w:rsidR="008A5147" w:rsidRPr="00CD6911" w:rsidRDefault="00C13F1B" w:rsidP="0073343B">
            <w:pPr>
              <w:pStyle w:val="TopCalls"/>
              <w:jc w:val="both"/>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022</w:t>
            </w:r>
            <w:r>
              <w:rPr>
                <w:rFonts w:ascii="Times New Roman" w:hAnsi="Times New Roman" w:cs="Times New Roman" w:hint="eastAsia"/>
                <w:sz w:val="18"/>
                <w:szCs w:val="18"/>
              </w:rPr>
              <w:t>年公司经营成本控制卓有成效，主要成本项占</w:t>
            </w:r>
            <w:r w:rsidR="00827C34">
              <w:rPr>
                <w:rFonts w:ascii="Times New Roman" w:hAnsi="Times New Roman" w:cs="Times New Roman" w:hint="eastAsia"/>
                <w:sz w:val="18"/>
                <w:szCs w:val="18"/>
              </w:rPr>
              <w:t>营收</w:t>
            </w:r>
            <w:r>
              <w:rPr>
                <w:rFonts w:ascii="Times New Roman" w:hAnsi="Times New Roman" w:cs="Times New Roman" w:hint="eastAsia"/>
                <w:sz w:val="18"/>
                <w:szCs w:val="18"/>
              </w:rPr>
              <w:t>的比重多数下降。其中，折旧摊销费用占比下降</w:t>
            </w:r>
            <w:r w:rsidR="000E2BBA">
              <w:rPr>
                <w:rFonts w:ascii="Times New Roman" w:hAnsi="Times New Roman" w:cs="Times New Roman" w:hint="eastAsia"/>
                <w:sz w:val="18"/>
                <w:szCs w:val="18"/>
              </w:rPr>
              <w:t>1</w:t>
            </w:r>
            <w:r w:rsidR="00827C34">
              <w:rPr>
                <w:rFonts w:ascii="Times New Roman" w:hAnsi="Times New Roman" w:cs="Times New Roman"/>
                <w:sz w:val="18"/>
                <w:szCs w:val="18"/>
              </w:rPr>
              <w:t>.41</w:t>
            </w:r>
            <w:r w:rsidR="000E2BBA">
              <w:rPr>
                <w:rFonts w:ascii="Times New Roman" w:hAnsi="Times New Roman" w:cs="Times New Roman" w:hint="eastAsia"/>
                <w:sz w:val="18"/>
                <w:szCs w:val="18"/>
              </w:rPr>
              <w:t>pct</w:t>
            </w:r>
            <w:r w:rsidR="000E2BBA">
              <w:rPr>
                <w:rFonts w:ascii="Times New Roman" w:hAnsi="Times New Roman" w:cs="Times New Roman" w:hint="eastAsia"/>
                <w:sz w:val="18"/>
                <w:szCs w:val="18"/>
              </w:rPr>
              <w:t>，职工薪酬占比下降</w:t>
            </w:r>
            <w:r w:rsidR="00622E52">
              <w:rPr>
                <w:rFonts w:ascii="Times New Roman" w:hAnsi="Times New Roman" w:cs="Times New Roman" w:hint="eastAsia"/>
                <w:sz w:val="18"/>
                <w:szCs w:val="18"/>
              </w:rPr>
              <w:t>0</w:t>
            </w:r>
            <w:r w:rsidR="00622E52">
              <w:rPr>
                <w:rFonts w:ascii="Times New Roman" w:hAnsi="Times New Roman" w:cs="Times New Roman"/>
                <w:sz w:val="18"/>
                <w:szCs w:val="18"/>
              </w:rPr>
              <w:t>.1</w:t>
            </w:r>
            <w:r w:rsidR="00622E52">
              <w:rPr>
                <w:rFonts w:ascii="Times New Roman" w:hAnsi="Times New Roman" w:cs="Times New Roman" w:hint="eastAsia"/>
                <w:sz w:val="18"/>
                <w:szCs w:val="18"/>
              </w:rPr>
              <w:t>pct</w:t>
            </w:r>
            <w:r w:rsidR="00622E52">
              <w:rPr>
                <w:rFonts w:ascii="Times New Roman" w:hAnsi="Times New Roman" w:cs="Times New Roman" w:hint="eastAsia"/>
                <w:sz w:val="18"/>
                <w:szCs w:val="18"/>
              </w:rPr>
              <w:t>，销售费用占比下降</w:t>
            </w:r>
            <w:r w:rsidR="00622E52">
              <w:rPr>
                <w:rFonts w:ascii="Times New Roman" w:hAnsi="Times New Roman" w:cs="Times New Roman" w:hint="eastAsia"/>
                <w:sz w:val="18"/>
                <w:szCs w:val="18"/>
              </w:rPr>
              <w:t>0</w:t>
            </w:r>
            <w:r w:rsidR="00622E52">
              <w:rPr>
                <w:rFonts w:ascii="Times New Roman" w:hAnsi="Times New Roman" w:cs="Times New Roman"/>
                <w:sz w:val="18"/>
                <w:szCs w:val="18"/>
              </w:rPr>
              <w:t>.4</w:t>
            </w:r>
            <w:r w:rsidR="00622E52">
              <w:rPr>
                <w:rFonts w:ascii="Times New Roman" w:hAnsi="Times New Roman" w:cs="Times New Roman" w:hint="eastAsia"/>
                <w:sz w:val="18"/>
                <w:szCs w:val="18"/>
              </w:rPr>
              <w:t>pct</w:t>
            </w:r>
            <w:r w:rsidR="00E03A11">
              <w:rPr>
                <w:rFonts w:ascii="Times New Roman" w:hAnsi="Times New Roman" w:cs="Times New Roman" w:hint="eastAsia"/>
                <w:sz w:val="18"/>
                <w:szCs w:val="18"/>
              </w:rPr>
              <w:t>。网络运营及支撑成本上升</w:t>
            </w:r>
            <w:r w:rsidR="00E03A11">
              <w:rPr>
                <w:rFonts w:ascii="Times New Roman" w:hAnsi="Times New Roman" w:cs="Times New Roman" w:hint="eastAsia"/>
                <w:sz w:val="18"/>
                <w:szCs w:val="18"/>
              </w:rPr>
              <w:t>0</w:t>
            </w:r>
            <w:r w:rsidR="00E03A11">
              <w:rPr>
                <w:rFonts w:ascii="Times New Roman" w:hAnsi="Times New Roman" w:cs="Times New Roman"/>
                <w:sz w:val="18"/>
                <w:szCs w:val="18"/>
              </w:rPr>
              <w:t>.5</w:t>
            </w:r>
            <w:r w:rsidR="00E03A11">
              <w:rPr>
                <w:rFonts w:ascii="Times New Roman" w:hAnsi="Times New Roman" w:cs="Times New Roman" w:hint="eastAsia"/>
                <w:sz w:val="18"/>
                <w:szCs w:val="18"/>
              </w:rPr>
              <w:t>pct</w:t>
            </w:r>
            <w:r w:rsidR="00E03A11">
              <w:rPr>
                <w:rFonts w:ascii="Times New Roman" w:hAnsi="Times New Roman" w:cs="Times New Roman" w:hint="eastAsia"/>
                <w:sz w:val="18"/>
                <w:szCs w:val="18"/>
              </w:rPr>
              <w:t>，主要归因于</w:t>
            </w:r>
            <w:r w:rsidR="00E03A11" w:rsidRPr="00E03A11">
              <w:rPr>
                <w:rFonts w:ascii="Times New Roman" w:hAnsi="Times New Roman" w:cs="Times New Roman" w:hint="eastAsia"/>
                <w:sz w:val="18"/>
                <w:szCs w:val="18"/>
              </w:rPr>
              <w:t>算力网络、能力中台</w:t>
            </w:r>
            <w:r w:rsidR="008F3CF8">
              <w:rPr>
                <w:rFonts w:ascii="Times New Roman" w:hAnsi="Times New Roman" w:cs="Times New Roman" w:hint="eastAsia"/>
                <w:sz w:val="18"/>
                <w:szCs w:val="18"/>
              </w:rPr>
              <w:t>等方面的投资力度加大</w:t>
            </w:r>
            <w:r w:rsidR="00E03A11">
              <w:rPr>
                <w:rFonts w:ascii="Times New Roman" w:hAnsi="Times New Roman" w:cs="Times New Roman" w:hint="eastAsia"/>
                <w:sz w:val="18"/>
                <w:szCs w:val="18"/>
              </w:rPr>
              <w:t>。</w:t>
            </w:r>
            <w:r w:rsidR="00956DC6">
              <w:rPr>
                <w:rFonts w:ascii="Times New Roman" w:hAnsi="Times New Roman" w:cs="Times New Roman" w:hint="eastAsia"/>
                <w:sz w:val="18"/>
                <w:szCs w:val="18"/>
              </w:rPr>
              <w:t>公司</w:t>
            </w:r>
            <w:r w:rsidR="006E4B7A" w:rsidRPr="006E4B7A">
              <w:rPr>
                <w:rFonts w:ascii="Times New Roman" w:hAnsi="Times New Roman" w:cs="Times New Roman" w:hint="eastAsia"/>
                <w:sz w:val="18"/>
                <w:szCs w:val="18"/>
              </w:rPr>
              <w:t>全年资本开支</w:t>
            </w:r>
            <w:r w:rsidR="006E4B7A">
              <w:rPr>
                <w:rFonts w:ascii="Times New Roman" w:hAnsi="Times New Roman" w:cs="Times New Roman" w:hint="eastAsia"/>
                <w:sz w:val="18"/>
                <w:szCs w:val="18"/>
              </w:rPr>
              <w:t>为</w:t>
            </w:r>
            <w:r w:rsidR="006E4B7A" w:rsidRPr="006E4B7A">
              <w:rPr>
                <w:rFonts w:ascii="Times New Roman" w:hAnsi="Times New Roman" w:cs="Times New Roman" w:hint="eastAsia"/>
                <w:sz w:val="18"/>
                <w:szCs w:val="18"/>
              </w:rPr>
              <w:t>1</w:t>
            </w:r>
            <w:r w:rsidR="006E4B7A">
              <w:rPr>
                <w:rFonts w:ascii="Times New Roman" w:hAnsi="Times New Roman" w:cs="Times New Roman"/>
                <w:sz w:val="18"/>
                <w:szCs w:val="18"/>
              </w:rPr>
              <w:t>,</w:t>
            </w:r>
            <w:r w:rsidR="006E4B7A" w:rsidRPr="006E4B7A">
              <w:rPr>
                <w:rFonts w:ascii="Times New Roman" w:hAnsi="Times New Roman" w:cs="Times New Roman" w:hint="eastAsia"/>
                <w:sz w:val="18"/>
                <w:szCs w:val="18"/>
              </w:rPr>
              <w:t>852</w:t>
            </w:r>
            <w:r w:rsidR="006E4B7A" w:rsidRPr="006E4B7A">
              <w:rPr>
                <w:rFonts w:ascii="Times New Roman" w:hAnsi="Times New Roman" w:cs="Times New Roman" w:hint="eastAsia"/>
                <w:sz w:val="18"/>
                <w:szCs w:val="18"/>
              </w:rPr>
              <w:t>亿元</w:t>
            </w:r>
            <w:r w:rsidR="006E4B7A">
              <w:rPr>
                <w:rFonts w:ascii="Times New Roman" w:hAnsi="Times New Roman" w:cs="Times New Roman" w:hint="eastAsia"/>
                <w:sz w:val="18"/>
                <w:szCs w:val="18"/>
              </w:rPr>
              <w:t>，</w:t>
            </w:r>
            <w:r w:rsidR="00E0554A">
              <w:rPr>
                <w:rFonts w:ascii="Times New Roman" w:hAnsi="Times New Roman" w:cs="Times New Roman" w:hint="eastAsia"/>
                <w:sz w:val="18"/>
                <w:szCs w:val="18"/>
              </w:rPr>
              <w:t>占营收</w:t>
            </w:r>
            <w:r w:rsidR="006E4B7A" w:rsidRPr="006E4B7A">
              <w:rPr>
                <w:rFonts w:ascii="Times New Roman" w:hAnsi="Times New Roman" w:cs="Times New Roman" w:hint="eastAsia"/>
                <w:sz w:val="18"/>
                <w:szCs w:val="18"/>
              </w:rPr>
              <w:t>比</w:t>
            </w:r>
            <w:r w:rsidR="00E0554A">
              <w:rPr>
                <w:rFonts w:ascii="Times New Roman" w:hAnsi="Times New Roman" w:cs="Times New Roman" w:hint="eastAsia"/>
                <w:sz w:val="18"/>
                <w:szCs w:val="18"/>
              </w:rPr>
              <w:t>重</w:t>
            </w:r>
            <w:r w:rsidR="00EC032C">
              <w:rPr>
                <w:rFonts w:ascii="Times New Roman" w:hAnsi="Times New Roman" w:cs="Times New Roman" w:hint="eastAsia"/>
                <w:sz w:val="18"/>
                <w:szCs w:val="18"/>
              </w:rPr>
              <w:t>下降</w:t>
            </w:r>
            <w:r w:rsidR="00E0554A">
              <w:rPr>
                <w:rFonts w:ascii="Times New Roman" w:hAnsi="Times New Roman" w:cs="Times New Roman"/>
                <w:sz w:val="18"/>
                <w:szCs w:val="18"/>
              </w:rPr>
              <w:t>1.6</w:t>
            </w:r>
            <w:r w:rsidR="00E0554A">
              <w:rPr>
                <w:rFonts w:ascii="Times New Roman" w:hAnsi="Times New Roman" w:cs="Times New Roman" w:hint="eastAsia"/>
                <w:sz w:val="18"/>
                <w:szCs w:val="18"/>
              </w:rPr>
              <w:t>pct</w:t>
            </w:r>
            <w:r w:rsidR="00586CF5">
              <w:rPr>
                <w:rFonts w:ascii="Times New Roman" w:hAnsi="Times New Roman" w:cs="Times New Roman" w:hint="eastAsia"/>
                <w:sz w:val="18"/>
                <w:szCs w:val="18"/>
              </w:rPr>
              <w:t>。</w:t>
            </w:r>
            <w:r w:rsidR="006E4B7A" w:rsidRPr="006E4B7A">
              <w:rPr>
                <w:rFonts w:ascii="Times New Roman" w:hAnsi="Times New Roman" w:cs="Times New Roman" w:hint="eastAsia"/>
                <w:sz w:val="18"/>
                <w:szCs w:val="18"/>
              </w:rPr>
              <w:t>预计</w:t>
            </w:r>
            <w:r w:rsidR="006E4B7A" w:rsidRPr="006E4B7A">
              <w:rPr>
                <w:rFonts w:ascii="Times New Roman" w:hAnsi="Times New Roman" w:cs="Times New Roman" w:hint="eastAsia"/>
                <w:sz w:val="18"/>
                <w:szCs w:val="18"/>
              </w:rPr>
              <w:t>2023</w:t>
            </w:r>
            <w:r w:rsidR="00956DC6">
              <w:rPr>
                <w:rFonts w:ascii="Times New Roman" w:hAnsi="Times New Roman" w:cs="Times New Roman" w:hint="eastAsia"/>
                <w:sz w:val="18"/>
                <w:szCs w:val="18"/>
              </w:rPr>
              <w:t>年</w:t>
            </w:r>
            <w:r w:rsidR="003603DD">
              <w:rPr>
                <w:rFonts w:ascii="Times New Roman" w:hAnsi="Times New Roman" w:cs="Times New Roman" w:hint="eastAsia"/>
                <w:sz w:val="18"/>
                <w:szCs w:val="18"/>
              </w:rPr>
              <w:t>公司</w:t>
            </w:r>
            <w:r w:rsidR="00956DC6">
              <w:rPr>
                <w:rFonts w:ascii="Times New Roman" w:hAnsi="Times New Roman" w:cs="Times New Roman" w:hint="eastAsia"/>
                <w:sz w:val="18"/>
                <w:szCs w:val="18"/>
              </w:rPr>
              <w:t>的</w:t>
            </w:r>
            <w:r w:rsidR="006E4B7A" w:rsidRPr="006E4B7A">
              <w:rPr>
                <w:rFonts w:ascii="Times New Roman" w:hAnsi="Times New Roman" w:cs="Times New Roman" w:hint="eastAsia"/>
                <w:sz w:val="18"/>
                <w:szCs w:val="18"/>
              </w:rPr>
              <w:t>资本开支</w:t>
            </w:r>
            <w:r w:rsidR="00E0554A">
              <w:rPr>
                <w:rFonts w:ascii="Times New Roman" w:hAnsi="Times New Roman" w:cs="Times New Roman" w:hint="eastAsia"/>
                <w:sz w:val="18"/>
                <w:szCs w:val="18"/>
              </w:rPr>
              <w:t>为</w:t>
            </w:r>
            <w:r w:rsidR="00956DC6">
              <w:rPr>
                <w:rFonts w:ascii="Times New Roman" w:hAnsi="Times New Roman" w:cs="Times New Roman"/>
                <w:sz w:val="18"/>
                <w:szCs w:val="18"/>
              </w:rPr>
              <w:t>1</w:t>
            </w:r>
            <w:r w:rsidR="00956DC6">
              <w:rPr>
                <w:rFonts w:ascii="Times New Roman" w:hAnsi="Times New Roman" w:cs="Times New Roman" w:hint="eastAsia"/>
                <w:sz w:val="18"/>
                <w:szCs w:val="18"/>
              </w:rPr>
              <w:t>,</w:t>
            </w:r>
            <w:r w:rsidR="00956DC6">
              <w:rPr>
                <w:rFonts w:ascii="Times New Roman" w:hAnsi="Times New Roman" w:cs="Times New Roman"/>
                <w:sz w:val="18"/>
                <w:szCs w:val="18"/>
              </w:rPr>
              <w:t>832</w:t>
            </w:r>
            <w:r w:rsidR="006E4B7A" w:rsidRPr="006E4B7A">
              <w:rPr>
                <w:rFonts w:ascii="Times New Roman" w:hAnsi="Times New Roman" w:cs="Times New Roman" w:hint="eastAsia"/>
                <w:sz w:val="18"/>
                <w:szCs w:val="18"/>
              </w:rPr>
              <w:t>亿元</w:t>
            </w:r>
            <w:r w:rsidR="00956DC6">
              <w:rPr>
                <w:rFonts w:ascii="Times New Roman" w:hAnsi="Times New Roman" w:cs="Times New Roman" w:hint="eastAsia"/>
                <w:sz w:val="18"/>
                <w:szCs w:val="18"/>
              </w:rPr>
              <w:t>，</w:t>
            </w:r>
            <w:r w:rsidR="00E0554A">
              <w:rPr>
                <w:rFonts w:ascii="Times New Roman" w:hAnsi="Times New Roman" w:cs="Times New Roman" w:hint="eastAsia"/>
                <w:sz w:val="18"/>
                <w:szCs w:val="18"/>
              </w:rPr>
              <w:t>同比下降</w:t>
            </w:r>
            <w:r w:rsidR="00E0554A">
              <w:rPr>
                <w:rFonts w:ascii="Times New Roman" w:hAnsi="Times New Roman" w:cs="Times New Roman" w:hint="eastAsia"/>
                <w:sz w:val="18"/>
                <w:szCs w:val="18"/>
              </w:rPr>
              <w:t>1</w:t>
            </w:r>
            <w:r w:rsidR="00E0554A">
              <w:rPr>
                <w:rFonts w:ascii="Times New Roman" w:hAnsi="Times New Roman" w:cs="Times New Roman"/>
                <w:sz w:val="18"/>
                <w:szCs w:val="18"/>
              </w:rPr>
              <w:t>.1%</w:t>
            </w:r>
            <w:r w:rsidR="00586CF5">
              <w:rPr>
                <w:rFonts w:ascii="Times New Roman" w:hAnsi="Times New Roman" w:cs="Times New Roman" w:hint="eastAsia"/>
                <w:sz w:val="18"/>
                <w:szCs w:val="18"/>
              </w:rPr>
              <w:t>，</w:t>
            </w:r>
            <w:r w:rsidR="00E0554A">
              <w:rPr>
                <w:rFonts w:ascii="Times New Roman" w:hAnsi="Times New Roman" w:cs="Times New Roman" w:hint="eastAsia"/>
                <w:sz w:val="18"/>
                <w:szCs w:val="18"/>
              </w:rPr>
              <w:t>其中</w:t>
            </w:r>
            <w:r w:rsidR="006E4B7A" w:rsidRPr="006E4B7A">
              <w:rPr>
                <w:rFonts w:ascii="Times New Roman" w:hAnsi="Times New Roman" w:cs="Times New Roman" w:hint="eastAsia"/>
                <w:sz w:val="18"/>
                <w:szCs w:val="18"/>
              </w:rPr>
              <w:t>5G</w:t>
            </w:r>
            <w:r w:rsidR="006E4B7A" w:rsidRPr="006E4B7A">
              <w:rPr>
                <w:rFonts w:ascii="Times New Roman" w:hAnsi="Times New Roman" w:cs="Times New Roman" w:hint="eastAsia"/>
                <w:sz w:val="18"/>
                <w:szCs w:val="18"/>
              </w:rPr>
              <w:t>网络投资降至</w:t>
            </w:r>
            <w:r w:rsidR="009E3108">
              <w:rPr>
                <w:rFonts w:ascii="Times New Roman" w:hAnsi="Times New Roman" w:cs="Times New Roman" w:hint="eastAsia"/>
                <w:sz w:val="18"/>
                <w:szCs w:val="18"/>
              </w:rPr>
              <w:t>8</w:t>
            </w:r>
            <w:r w:rsidR="009E3108">
              <w:rPr>
                <w:rFonts w:ascii="Times New Roman" w:hAnsi="Times New Roman" w:cs="Times New Roman"/>
                <w:sz w:val="18"/>
                <w:szCs w:val="18"/>
              </w:rPr>
              <w:t>30</w:t>
            </w:r>
            <w:r w:rsidR="006E4B7A" w:rsidRPr="006E4B7A">
              <w:rPr>
                <w:rFonts w:ascii="Times New Roman" w:hAnsi="Times New Roman" w:cs="Times New Roman" w:hint="eastAsia"/>
                <w:sz w:val="18"/>
                <w:szCs w:val="18"/>
              </w:rPr>
              <w:t>亿元</w:t>
            </w:r>
            <w:r w:rsidR="00E0554A">
              <w:rPr>
                <w:rFonts w:ascii="Times New Roman" w:hAnsi="Times New Roman" w:cs="Times New Roman" w:hint="eastAsia"/>
                <w:sz w:val="18"/>
                <w:szCs w:val="18"/>
              </w:rPr>
              <w:t>，</w:t>
            </w:r>
            <w:r w:rsidR="006E4B7A" w:rsidRPr="006E4B7A">
              <w:rPr>
                <w:rFonts w:ascii="Times New Roman" w:hAnsi="Times New Roman" w:cs="Times New Roman" w:hint="eastAsia"/>
                <w:sz w:val="18"/>
                <w:szCs w:val="18"/>
              </w:rPr>
              <w:t>而算力开支</w:t>
            </w:r>
            <w:r w:rsidR="00E0554A">
              <w:rPr>
                <w:rFonts w:ascii="Times New Roman" w:hAnsi="Times New Roman" w:cs="Times New Roman" w:hint="eastAsia"/>
                <w:sz w:val="18"/>
                <w:szCs w:val="18"/>
              </w:rPr>
              <w:t>则</w:t>
            </w:r>
            <w:r w:rsidR="006E4B7A" w:rsidRPr="006E4B7A">
              <w:rPr>
                <w:rFonts w:ascii="Times New Roman" w:hAnsi="Times New Roman" w:cs="Times New Roman" w:hint="eastAsia"/>
                <w:sz w:val="18"/>
                <w:szCs w:val="18"/>
              </w:rPr>
              <w:t>大幅提升</w:t>
            </w:r>
            <w:r w:rsidR="00E0554A">
              <w:rPr>
                <w:rFonts w:ascii="Times New Roman" w:hAnsi="Times New Roman" w:cs="Times New Roman" w:hint="eastAsia"/>
                <w:sz w:val="18"/>
                <w:szCs w:val="18"/>
              </w:rPr>
              <w:t>至</w:t>
            </w:r>
            <w:r w:rsidR="00E0554A">
              <w:rPr>
                <w:rFonts w:ascii="Times New Roman" w:hAnsi="Times New Roman" w:cs="Times New Roman" w:hint="eastAsia"/>
                <w:sz w:val="18"/>
                <w:szCs w:val="18"/>
              </w:rPr>
              <w:t>4</w:t>
            </w:r>
            <w:r w:rsidR="00E0554A">
              <w:rPr>
                <w:rFonts w:ascii="Times New Roman" w:hAnsi="Times New Roman" w:cs="Times New Roman"/>
                <w:sz w:val="18"/>
                <w:szCs w:val="18"/>
              </w:rPr>
              <w:t>52</w:t>
            </w:r>
            <w:r w:rsidR="00E0554A">
              <w:rPr>
                <w:rFonts w:ascii="Times New Roman" w:hAnsi="Times New Roman" w:cs="Times New Roman" w:hint="eastAsia"/>
                <w:sz w:val="18"/>
                <w:szCs w:val="18"/>
              </w:rPr>
              <w:t>亿元</w:t>
            </w:r>
            <w:r w:rsidR="006E4B7A" w:rsidRPr="006E4B7A">
              <w:rPr>
                <w:rFonts w:ascii="Times New Roman" w:hAnsi="Times New Roman" w:cs="Times New Roman" w:hint="eastAsia"/>
                <w:sz w:val="18"/>
                <w:szCs w:val="18"/>
              </w:rPr>
              <w:t>。</w:t>
            </w:r>
            <w:r w:rsidR="00D33014">
              <w:rPr>
                <w:rFonts w:ascii="Times New Roman" w:hAnsi="Times New Roman" w:cs="Times New Roman" w:hint="eastAsia"/>
                <w:sz w:val="18"/>
                <w:szCs w:val="18"/>
              </w:rPr>
              <w:t>这是</w:t>
            </w:r>
            <w:r w:rsidR="00D33014">
              <w:rPr>
                <w:rFonts w:ascii="Times New Roman" w:hAnsi="Times New Roman" w:cs="Times New Roman" w:hint="eastAsia"/>
                <w:sz w:val="18"/>
                <w:szCs w:val="18"/>
              </w:rPr>
              <w:t>2</w:t>
            </w:r>
            <w:r w:rsidR="00D33014">
              <w:rPr>
                <w:rFonts w:ascii="Times New Roman" w:hAnsi="Times New Roman" w:cs="Times New Roman"/>
                <w:sz w:val="18"/>
                <w:szCs w:val="18"/>
              </w:rPr>
              <w:t>019</w:t>
            </w:r>
            <w:r w:rsidR="00D33014">
              <w:rPr>
                <w:rFonts w:ascii="Times New Roman" w:hAnsi="Times New Roman" w:cs="Times New Roman" w:hint="eastAsia"/>
                <w:sz w:val="18"/>
                <w:szCs w:val="18"/>
              </w:rPr>
              <w:t>年之后中国移动首次出现资本开支下降，我们预计未来几年公司资本开支将继续呈现下降趋势，</w:t>
            </w:r>
            <w:r w:rsidR="00D33014" w:rsidRPr="00D33014">
              <w:rPr>
                <w:rFonts w:ascii="Times New Roman" w:hAnsi="Times New Roman" w:cs="Times New Roman" w:hint="eastAsia"/>
                <w:sz w:val="18"/>
                <w:szCs w:val="18"/>
              </w:rPr>
              <w:t>资本开支占</w:t>
            </w:r>
            <w:r w:rsidR="00D33014">
              <w:rPr>
                <w:rFonts w:ascii="Times New Roman" w:hAnsi="Times New Roman" w:cs="Times New Roman" w:hint="eastAsia"/>
                <w:sz w:val="18"/>
                <w:szCs w:val="18"/>
              </w:rPr>
              <w:t>营</w:t>
            </w:r>
            <w:r w:rsidR="00D33014" w:rsidRPr="00D33014">
              <w:rPr>
                <w:rFonts w:ascii="Times New Roman" w:hAnsi="Times New Roman" w:cs="Times New Roman" w:hint="eastAsia"/>
                <w:sz w:val="18"/>
                <w:szCs w:val="18"/>
              </w:rPr>
              <w:t>收比</w:t>
            </w:r>
            <w:r w:rsidR="00D33014">
              <w:rPr>
                <w:rFonts w:ascii="Times New Roman" w:hAnsi="Times New Roman" w:cs="Times New Roman" w:hint="eastAsia"/>
                <w:sz w:val="18"/>
                <w:szCs w:val="18"/>
              </w:rPr>
              <w:t>重将</w:t>
            </w:r>
            <w:r w:rsidR="00D33014" w:rsidRPr="00D33014">
              <w:rPr>
                <w:rFonts w:ascii="Times New Roman" w:hAnsi="Times New Roman" w:cs="Times New Roman" w:hint="eastAsia"/>
                <w:sz w:val="18"/>
                <w:szCs w:val="18"/>
              </w:rPr>
              <w:t>降至</w:t>
            </w:r>
            <w:r w:rsidR="00D33014" w:rsidRPr="00D33014">
              <w:rPr>
                <w:rFonts w:ascii="Times New Roman" w:hAnsi="Times New Roman" w:cs="Times New Roman" w:hint="eastAsia"/>
                <w:sz w:val="18"/>
                <w:szCs w:val="18"/>
              </w:rPr>
              <w:t>20%</w:t>
            </w:r>
            <w:r w:rsidR="00D33014" w:rsidRPr="00D33014">
              <w:rPr>
                <w:rFonts w:ascii="Times New Roman" w:hAnsi="Times New Roman" w:cs="Times New Roman" w:hint="eastAsia"/>
                <w:sz w:val="18"/>
                <w:szCs w:val="18"/>
              </w:rPr>
              <w:t>以内。</w:t>
            </w:r>
          </w:p>
          <w:p w14:paraId="4F9E1216" w14:textId="77777777" w:rsidR="00833716" w:rsidRPr="0065231D" w:rsidRDefault="00D62567" w:rsidP="008507EA">
            <w:pPr>
              <w:spacing w:before="120" w:after="0" w:line="240" w:lineRule="auto"/>
              <w:jc w:val="both"/>
              <w:rPr>
                <w:rFonts w:ascii="Arial" w:hAnsi="Arial" w:cs="Arial"/>
                <w:b/>
                <w:sz w:val="21"/>
                <w:szCs w:val="21"/>
              </w:rPr>
            </w:pPr>
            <w:r w:rsidRPr="0065231D">
              <w:rPr>
                <w:rFonts w:ascii="Arial" w:hAnsi="Arial" w:cs="Arial" w:hint="eastAsia"/>
                <w:b/>
                <w:sz w:val="21"/>
                <w:szCs w:val="21"/>
              </w:rPr>
              <w:t>盈利预测和投资建议：</w:t>
            </w:r>
          </w:p>
          <w:p w14:paraId="7E28C39C" w14:textId="059830EB" w:rsidR="00833716" w:rsidRPr="00CD6911" w:rsidRDefault="00DA7869" w:rsidP="0073343B">
            <w:pPr>
              <w:pStyle w:val="TopCalls"/>
              <w:jc w:val="both"/>
              <w:rPr>
                <w:rFonts w:ascii="Times New Roman" w:hAnsi="Times New Roman" w:cs="Times New Roman"/>
                <w:sz w:val="18"/>
                <w:szCs w:val="18"/>
              </w:rPr>
            </w:pPr>
            <w:r w:rsidRPr="00CD6911">
              <w:rPr>
                <w:rFonts w:ascii="Times New Roman" w:hAnsi="Times New Roman" w:cs="Times New Roman" w:hint="eastAsia"/>
                <w:sz w:val="18"/>
                <w:szCs w:val="18"/>
              </w:rPr>
              <w:t>我们认为，</w:t>
            </w:r>
            <w:r w:rsidR="00AF2914" w:rsidRPr="00AF2914">
              <w:rPr>
                <w:rFonts w:ascii="Times New Roman" w:hAnsi="Times New Roman" w:cs="Times New Roman" w:hint="eastAsia"/>
                <w:sz w:val="18"/>
                <w:szCs w:val="18"/>
              </w:rPr>
              <w:t>公司系统打造以</w:t>
            </w:r>
            <w:r w:rsidR="00AF2914" w:rsidRPr="00AF2914">
              <w:rPr>
                <w:rFonts w:ascii="Times New Roman" w:hAnsi="Times New Roman" w:cs="Times New Roman" w:hint="eastAsia"/>
                <w:sz w:val="18"/>
                <w:szCs w:val="18"/>
              </w:rPr>
              <w:t>5G</w:t>
            </w:r>
            <w:r w:rsidR="00AF2914" w:rsidRPr="00AF2914">
              <w:rPr>
                <w:rFonts w:ascii="Times New Roman" w:hAnsi="Times New Roman" w:cs="Times New Roman" w:hint="eastAsia"/>
                <w:sz w:val="18"/>
                <w:szCs w:val="18"/>
              </w:rPr>
              <w:t>、算力网络、能力中台为重点的新型信息基础设施</w:t>
            </w:r>
            <w:r w:rsidR="00AF2914">
              <w:rPr>
                <w:rFonts w:ascii="Times New Roman" w:hAnsi="Times New Roman" w:cs="Times New Roman" w:hint="eastAsia"/>
                <w:sz w:val="18"/>
                <w:szCs w:val="18"/>
              </w:rPr>
              <w:t>，</w:t>
            </w:r>
            <w:r w:rsidR="00AF2914" w:rsidRPr="00AF2914">
              <w:rPr>
                <w:rFonts w:ascii="Times New Roman" w:hAnsi="Times New Roman" w:cs="Times New Roman" w:hint="eastAsia"/>
                <w:sz w:val="18"/>
                <w:szCs w:val="18"/>
              </w:rPr>
              <w:t>创新构建“连接</w:t>
            </w:r>
            <w:r w:rsidR="00AF2914" w:rsidRPr="00AF2914">
              <w:rPr>
                <w:rFonts w:ascii="Times New Roman" w:hAnsi="Times New Roman" w:cs="Times New Roman" w:hint="eastAsia"/>
                <w:sz w:val="18"/>
                <w:szCs w:val="18"/>
              </w:rPr>
              <w:t>+</w:t>
            </w:r>
            <w:r w:rsidR="00AF2914" w:rsidRPr="00AF2914">
              <w:rPr>
                <w:rFonts w:ascii="Times New Roman" w:hAnsi="Times New Roman" w:cs="Times New Roman" w:hint="eastAsia"/>
                <w:sz w:val="18"/>
                <w:szCs w:val="18"/>
              </w:rPr>
              <w:t>算力</w:t>
            </w:r>
            <w:r w:rsidR="00AF2914" w:rsidRPr="00AF2914">
              <w:rPr>
                <w:rFonts w:ascii="Times New Roman" w:hAnsi="Times New Roman" w:cs="Times New Roman" w:hint="eastAsia"/>
                <w:sz w:val="18"/>
                <w:szCs w:val="18"/>
              </w:rPr>
              <w:t>+</w:t>
            </w:r>
            <w:r w:rsidR="00AF2914" w:rsidRPr="00AF2914">
              <w:rPr>
                <w:rFonts w:ascii="Times New Roman" w:hAnsi="Times New Roman" w:cs="Times New Roman" w:hint="eastAsia"/>
                <w:sz w:val="18"/>
                <w:szCs w:val="18"/>
              </w:rPr>
              <w:t>能力“新型信息服务体系</w:t>
            </w:r>
            <w:r w:rsidR="00AF2914">
              <w:rPr>
                <w:rFonts w:ascii="Times New Roman" w:hAnsi="Times New Roman" w:cs="Times New Roman" w:hint="eastAsia"/>
                <w:sz w:val="18"/>
                <w:szCs w:val="18"/>
              </w:rPr>
              <w:t>，</w:t>
            </w:r>
            <w:r w:rsidR="00AF2914" w:rsidRPr="00AF2914">
              <w:rPr>
                <w:rFonts w:ascii="Times New Roman" w:hAnsi="Times New Roman" w:cs="Times New Roman" w:hint="eastAsia"/>
                <w:sz w:val="18"/>
                <w:szCs w:val="18"/>
              </w:rPr>
              <w:t>不断夯实数智底座</w:t>
            </w:r>
            <w:r w:rsidR="009A40FE">
              <w:rPr>
                <w:rFonts w:ascii="Times New Roman" w:hAnsi="Times New Roman" w:cs="Times New Roman" w:hint="eastAsia"/>
                <w:sz w:val="18"/>
                <w:szCs w:val="18"/>
              </w:rPr>
              <w:t>，</w:t>
            </w:r>
            <w:r w:rsidR="00730FDC">
              <w:rPr>
                <w:rFonts w:ascii="Times New Roman" w:hAnsi="Times New Roman" w:cs="Times New Roman" w:hint="eastAsia"/>
                <w:sz w:val="18"/>
                <w:szCs w:val="18"/>
              </w:rPr>
              <w:t>未来有望持续受益于数字经济</w:t>
            </w:r>
            <w:r w:rsidR="009A40FE">
              <w:rPr>
                <w:rFonts w:ascii="Times New Roman" w:hAnsi="Times New Roman" w:cs="Times New Roman" w:hint="eastAsia"/>
                <w:sz w:val="18"/>
                <w:szCs w:val="18"/>
              </w:rPr>
              <w:t>业绩持续稳健增长</w:t>
            </w:r>
            <w:r w:rsidRPr="00CD6911">
              <w:rPr>
                <w:rFonts w:ascii="Times New Roman" w:hAnsi="Times New Roman" w:cs="Times New Roman" w:hint="eastAsia"/>
                <w:sz w:val="18"/>
                <w:szCs w:val="18"/>
              </w:rPr>
              <w:t>。</w:t>
            </w:r>
            <w:r w:rsidR="00D409B9" w:rsidRPr="00D409B9">
              <w:rPr>
                <w:rFonts w:ascii="Times New Roman" w:hAnsi="Times New Roman" w:cs="Times New Roman" w:hint="eastAsia"/>
                <w:sz w:val="18"/>
                <w:szCs w:val="18"/>
              </w:rPr>
              <w:t>预计公司</w:t>
            </w:r>
            <w:r w:rsidR="00D409B9" w:rsidRPr="00D409B9">
              <w:rPr>
                <w:rFonts w:ascii="Times New Roman" w:hAnsi="Times New Roman" w:cs="Times New Roman" w:hint="eastAsia"/>
                <w:sz w:val="18"/>
                <w:szCs w:val="18"/>
              </w:rPr>
              <w:t>2023-2025</w:t>
            </w:r>
            <w:r w:rsidR="00D409B9" w:rsidRPr="00D409B9">
              <w:rPr>
                <w:rFonts w:ascii="Times New Roman" w:hAnsi="Times New Roman" w:cs="Times New Roman" w:hint="eastAsia"/>
                <w:sz w:val="18"/>
                <w:szCs w:val="18"/>
              </w:rPr>
              <w:t>年股东应占利润分别为</w:t>
            </w:r>
            <w:r w:rsidR="00D409B9" w:rsidRPr="00D409B9">
              <w:rPr>
                <w:rFonts w:ascii="Times New Roman" w:hAnsi="Times New Roman" w:cs="Times New Roman" w:hint="eastAsia"/>
                <w:sz w:val="18"/>
                <w:szCs w:val="18"/>
              </w:rPr>
              <w:t>1370/1510/1664</w:t>
            </w:r>
            <w:r w:rsidR="00D409B9" w:rsidRPr="00D409B9">
              <w:rPr>
                <w:rFonts w:ascii="Times New Roman" w:hAnsi="Times New Roman" w:cs="Times New Roman" w:hint="eastAsia"/>
                <w:sz w:val="18"/>
                <w:szCs w:val="18"/>
              </w:rPr>
              <w:t>亿元，我们给予公司</w:t>
            </w:r>
            <w:r w:rsidR="00D409B9" w:rsidRPr="00D409B9">
              <w:rPr>
                <w:rFonts w:ascii="Times New Roman" w:hAnsi="Times New Roman" w:cs="Times New Roman" w:hint="eastAsia"/>
                <w:sz w:val="18"/>
                <w:szCs w:val="18"/>
              </w:rPr>
              <w:t>2023</w:t>
            </w:r>
            <w:r w:rsidR="00D409B9" w:rsidRPr="00D409B9">
              <w:rPr>
                <w:rFonts w:ascii="Times New Roman" w:hAnsi="Times New Roman" w:cs="Times New Roman" w:hint="eastAsia"/>
                <w:sz w:val="18"/>
                <w:szCs w:val="18"/>
              </w:rPr>
              <w:t>年</w:t>
            </w:r>
            <w:r w:rsidR="00D409B9" w:rsidRPr="00D409B9">
              <w:rPr>
                <w:rFonts w:ascii="Times New Roman" w:hAnsi="Times New Roman" w:cs="Times New Roman" w:hint="eastAsia"/>
                <w:sz w:val="18"/>
                <w:szCs w:val="18"/>
              </w:rPr>
              <w:t>10</w:t>
            </w:r>
            <w:r w:rsidR="00D409B9" w:rsidRPr="00D409B9">
              <w:rPr>
                <w:rFonts w:ascii="Times New Roman" w:hAnsi="Times New Roman" w:cs="Times New Roman" w:hint="eastAsia"/>
                <w:sz w:val="18"/>
                <w:szCs w:val="18"/>
              </w:rPr>
              <w:t>倍市盈率的估值，对应合理价值为</w:t>
            </w:r>
            <w:r w:rsidR="00D409B9" w:rsidRPr="00D409B9">
              <w:rPr>
                <w:rFonts w:ascii="Times New Roman" w:hAnsi="Times New Roman" w:cs="Times New Roman" w:hint="eastAsia"/>
                <w:sz w:val="18"/>
                <w:szCs w:val="18"/>
              </w:rPr>
              <w:t>73.4</w:t>
            </w:r>
            <w:r w:rsidR="00D409B9" w:rsidRPr="00D409B9">
              <w:rPr>
                <w:rFonts w:ascii="Times New Roman" w:hAnsi="Times New Roman" w:cs="Times New Roman" w:hint="eastAsia"/>
                <w:sz w:val="18"/>
                <w:szCs w:val="18"/>
              </w:rPr>
              <w:t>港元</w:t>
            </w:r>
            <w:r w:rsidR="00D409B9" w:rsidRPr="00D409B9">
              <w:rPr>
                <w:rFonts w:ascii="Times New Roman" w:hAnsi="Times New Roman" w:cs="Times New Roman" w:hint="eastAsia"/>
                <w:sz w:val="18"/>
                <w:szCs w:val="18"/>
              </w:rPr>
              <w:t>/</w:t>
            </w:r>
            <w:r w:rsidR="00D409B9" w:rsidRPr="00D409B9">
              <w:rPr>
                <w:rFonts w:ascii="Times New Roman" w:hAnsi="Times New Roman" w:cs="Times New Roman" w:hint="eastAsia"/>
                <w:sz w:val="18"/>
                <w:szCs w:val="18"/>
              </w:rPr>
              <w:t>股（参考汇率</w:t>
            </w:r>
            <w:r w:rsidR="00D409B9" w:rsidRPr="00D409B9">
              <w:rPr>
                <w:rFonts w:ascii="Times New Roman" w:hAnsi="Times New Roman" w:cs="Times New Roman" w:hint="eastAsia"/>
                <w:sz w:val="18"/>
                <w:szCs w:val="18"/>
              </w:rPr>
              <w:t>1</w:t>
            </w:r>
            <w:r w:rsidR="00D409B9" w:rsidRPr="00D409B9">
              <w:rPr>
                <w:rFonts w:ascii="Times New Roman" w:hAnsi="Times New Roman" w:cs="Times New Roman" w:hint="eastAsia"/>
                <w:sz w:val="18"/>
                <w:szCs w:val="18"/>
              </w:rPr>
              <w:t>港元</w:t>
            </w:r>
            <w:r w:rsidR="00D409B9" w:rsidRPr="00D409B9">
              <w:rPr>
                <w:rFonts w:ascii="Times New Roman" w:hAnsi="Times New Roman" w:cs="Times New Roman" w:hint="eastAsia"/>
                <w:sz w:val="18"/>
                <w:szCs w:val="18"/>
              </w:rPr>
              <w:t>=0.87652</w:t>
            </w:r>
            <w:r w:rsidR="00D409B9" w:rsidRPr="00D409B9">
              <w:rPr>
                <w:rFonts w:ascii="Times New Roman" w:hAnsi="Times New Roman" w:cs="Times New Roman" w:hint="eastAsia"/>
                <w:sz w:val="18"/>
                <w:szCs w:val="18"/>
              </w:rPr>
              <w:t>人民币）</w:t>
            </w:r>
            <w:r w:rsidR="00390673" w:rsidRPr="00CD6911">
              <w:rPr>
                <w:rFonts w:ascii="Times New Roman" w:hAnsi="Times New Roman" w:cs="Times New Roman" w:hint="eastAsia"/>
                <w:sz w:val="18"/>
                <w:szCs w:val="18"/>
              </w:rPr>
              <w:t>。</w:t>
            </w:r>
          </w:p>
          <w:p w14:paraId="7CE52DE8" w14:textId="77777777" w:rsidR="00833716" w:rsidRPr="0065231D" w:rsidRDefault="00CC4219" w:rsidP="008507EA">
            <w:pPr>
              <w:spacing w:before="120" w:after="0" w:line="240" w:lineRule="auto"/>
              <w:jc w:val="both"/>
              <w:rPr>
                <w:rFonts w:ascii="Arial" w:hAnsi="Arial" w:cs="Arial"/>
                <w:b/>
                <w:sz w:val="21"/>
                <w:szCs w:val="21"/>
              </w:rPr>
            </w:pPr>
            <w:r w:rsidRPr="0065231D">
              <w:rPr>
                <w:rFonts w:ascii="Arial" w:hAnsi="Arial" w:cs="Arial" w:hint="eastAsia"/>
                <w:b/>
                <w:sz w:val="21"/>
                <w:szCs w:val="21"/>
              </w:rPr>
              <w:t>风险提示</w:t>
            </w:r>
            <w:r w:rsidR="00474E56" w:rsidRPr="0065231D">
              <w:rPr>
                <w:rFonts w:ascii="Arial" w:hAnsi="Arial" w:cs="Arial" w:hint="eastAsia"/>
                <w:b/>
                <w:sz w:val="21"/>
                <w:szCs w:val="21"/>
              </w:rPr>
              <w:t>：</w:t>
            </w:r>
          </w:p>
          <w:p w14:paraId="7F1F0F65" w14:textId="298E24C5" w:rsidR="00833716" w:rsidRPr="00CD6911" w:rsidRDefault="00177E3D" w:rsidP="0073343B">
            <w:pPr>
              <w:pStyle w:val="TopCalls"/>
              <w:jc w:val="both"/>
              <w:rPr>
                <w:rFonts w:cs="Times New Roman"/>
                <w:sz w:val="18"/>
                <w:szCs w:val="18"/>
              </w:rPr>
            </w:pPr>
            <w:r w:rsidRPr="00177E3D">
              <w:rPr>
                <w:rFonts w:ascii="Times New Roman" w:hAnsi="Times New Roman" w:cs="Times New Roman" w:hint="eastAsia"/>
                <w:sz w:val="18"/>
                <w:szCs w:val="18"/>
              </w:rPr>
              <w:t>5G</w:t>
            </w:r>
            <w:r w:rsidRPr="00177E3D">
              <w:rPr>
                <w:rFonts w:ascii="Times New Roman" w:hAnsi="Times New Roman" w:cs="Times New Roman" w:hint="eastAsia"/>
                <w:sz w:val="18"/>
                <w:szCs w:val="18"/>
              </w:rPr>
              <w:t>应用发展不及预期</w:t>
            </w:r>
            <w:r w:rsidR="00CC4219" w:rsidRPr="00CD6911">
              <w:rPr>
                <w:rFonts w:ascii="Times New Roman" w:hAnsi="Times New Roman" w:cs="Times New Roman" w:hint="eastAsia"/>
                <w:sz w:val="18"/>
                <w:szCs w:val="18"/>
              </w:rPr>
              <w:t>；</w:t>
            </w:r>
            <w:r w:rsidR="005B3911">
              <w:rPr>
                <w:rFonts w:ascii="Times New Roman" w:hAnsi="Times New Roman" w:cs="Times New Roman" w:hint="eastAsia"/>
                <w:sz w:val="18"/>
                <w:szCs w:val="18"/>
              </w:rPr>
              <w:t>政企业务发展不及预期</w:t>
            </w:r>
            <w:r w:rsidR="00CC4219" w:rsidRPr="00CD6911">
              <w:rPr>
                <w:rFonts w:ascii="Times New Roman" w:hAnsi="Times New Roman" w:cs="Times New Roman" w:hint="eastAsia"/>
                <w:sz w:val="18"/>
                <w:szCs w:val="18"/>
              </w:rPr>
              <w:t>；</w:t>
            </w:r>
            <w:r>
              <w:rPr>
                <w:rFonts w:ascii="Times New Roman" w:hAnsi="Times New Roman" w:cs="Times New Roman" w:hint="eastAsia"/>
                <w:sz w:val="18"/>
                <w:szCs w:val="18"/>
              </w:rPr>
              <w:t>移动</w:t>
            </w:r>
            <w:r w:rsidR="005E3876">
              <w:rPr>
                <w:rFonts w:ascii="Times New Roman" w:hAnsi="Times New Roman" w:cs="Times New Roman" w:hint="eastAsia"/>
                <w:sz w:val="18"/>
                <w:szCs w:val="18"/>
              </w:rPr>
              <w:t>和</w:t>
            </w:r>
            <w:r>
              <w:rPr>
                <w:rFonts w:ascii="Times New Roman" w:hAnsi="Times New Roman" w:cs="Times New Roman" w:hint="eastAsia"/>
                <w:sz w:val="18"/>
                <w:szCs w:val="18"/>
              </w:rPr>
              <w:t>宽带</w:t>
            </w:r>
            <w:r w:rsidR="005E3876">
              <w:rPr>
                <w:rFonts w:ascii="Times New Roman" w:hAnsi="Times New Roman" w:cs="Times New Roman" w:hint="eastAsia"/>
                <w:sz w:val="18"/>
                <w:szCs w:val="18"/>
              </w:rPr>
              <w:t>行业竞争加剧</w:t>
            </w:r>
            <w:r w:rsidR="00CC4219" w:rsidRPr="00CD6911">
              <w:rPr>
                <w:rFonts w:ascii="Times New Roman" w:hAnsi="Times New Roman" w:cs="Times New Roman" w:hint="eastAsia"/>
                <w:sz w:val="18"/>
                <w:szCs w:val="18"/>
              </w:rPr>
              <w:t>；</w:t>
            </w:r>
            <w:r w:rsidR="005E3876">
              <w:rPr>
                <w:rFonts w:ascii="Times New Roman" w:hAnsi="Times New Roman" w:cs="Times New Roman" w:hint="eastAsia"/>
                <w:sz w:val="18"/>
                <w:szCs w:val="18"/>
              </w:rPr>
              <w:t>新兴业务投资不及预期</w:t>
            </w:r>
            <w:r w:rsidR="00343CE3" w:rsidRPr="00CD6911">
              <w:rPr>
                <w:rFonts w:ascii="Times New Roman" w:hAnsi="Times New Roman" w:cs="Times New Roman" w:hint="eastAsia"/>
                <w:sz w:val="18"/>
                <w:szCs w:val="18"/>
              </w:rPr>
              <w:t>。</w:t>
            </w:r>
            <w:bookmarkEnd w:id="0"/>
          </w:p>
          <w:p w14:paraId="659E881B" w14:textId="77777777" w:rsidR="00833716" w:rsidRDefault="00833716">
            <w:pPr>
              <w:spacing w:after="0" w:line="240" w:lineRule="auto"/>
              <w:jc w:val="both"/>
              <w:rPr>
                <w:rFonts w:cs="Times New Roman"/>
                <w:szCs w:val="18"/>
              </w:rPr>
            </w:pPr>
          </w:p>
          <w:tbl>
            <w:tblPr>
              <w:tblStyle w:val="TableGrid11"/>
              <w:tblW w:w="70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042"/>
            </w:tblGrid>
            <w:tr w:rsidR="00833716" w14:paraId="404412AA" w14:textId="77777777">
              <w:trPr>
                <w:jc w:val="center"/>
              </w:trPr>
              <w:tc>
                <w:tcPr>
                  <w:tcW w:w="7042" w:type="dxa"/>
                  <w:tcBorders>
                    <w:bottom w:val="single" w:sz="2" w:space="0" w:color="1F3864"/>
                  </w:tcBorders>
                </w:tcPr>
                <w:bookmarkEnd w:id="1"/>
                <w:p w14:paraId="0DD85BBD" w14:textId="77777777" w:rsidR="00833716" w:rsidRPr="0065231D" w:rsidRDefault="00343CE3">
                  <w:pPr>
                    <w:spacing w:after="0" w:line="240" w:lineRule="auto"/>
                    <w:rPr>
                      <w:rFonts w:eastAsia="SimSun" w:cs="Times New Roman"/>
                      <w:b/>
                      <w:color w:val="1F3864"/>
                      <w:sz w:val="21"/>
                      <w:szCs w:val="21"/>
                    </w:rPr>
                  </w:pPr>
                  <w:r w:rsidRPr="0065231D">
                    <w:rPr>
                      <w:rFonts w:eastAsia="SimSun" w:cs="Times New Roman" w:hint="eastAsia"/>
                      <w:b/>
                      <w:color w:val="1F3864"/>
                      <w:sz w:val="21"/>
                      <w:szCs w:val="21"/>
                    </w:rPr>
                    <w:t>主要数据</w:t>
                  </w:r>
                </w:p>
              </w:tc>
            </w:tr>
            <w:tr w:rsidR="00833716" w14:paraId="4B30E467" w14:textId="77777777">
              <w:trPr>
                <w:jc w:val="center"/>
              </w:trPr>
              <w:tc>
                <w:tcPr>
                  <w:tcW w:w="7042" w:type="dxa"/>
                  <w:tcBorders>
                    <w:top w:val="single" w:sz="2" w:space="0" w:color="1F3864"/>
                    <w:bottom w:val="single" w:sz="2" w:space="0" w:color="1F3864"/>
                  </w:tcBorders>
                  <w:tcMar>
                    <w:top w:w="58" w:type="dxa"/>
                    <w:left w:w="58" w:type="dxa"/>
                    <w:bottom w:w="58" w:type="dxa"/>
                    <w:right w:w="58" w:type="dxa"/>
                  </w:tcMar>
                  <w:vAlign w:val="center"/>
                </w:tcPr>
                <w:tbl>
                  <w:tblPr>
                    <w:tblW w:w="7200" w:type="dxa"/>
                    <w:jc w:val="center"/>
                    <w:tblLayout w:type="fixed"/>
                    <w:tblLook w:val="04A0" w:firstRow="1" w:lastRow="0" w:firstColumn="1" w:lastColumn="0" w:noHBand="0" w:noVBand="1"/>
                  </w:tblPr>
                  <w:tblGrid>
                    <w:gridCol w:w="2312"/>
                    <w:gridCol w:w="851"/>
                    <w:gridCol w:w="850"/>
                    <w:gridCol w:w="992"/>
                    <w:gridCol w:w="993"/>
                    <w:gridCol w:w="1202"/>
                  </w:tblGrid>
                  <w:tr w:rsidR="000A48C2" w14:paraId="7E133F98" w14:textId="77777777" w:rsidTr="00707891">
                    <w:trPr>
                      <w:trHeight w:val="324"/>
                      <w:jc w:val="center"/>
                    </w:trPr>
                    <w:tc>
                      <w:tcPr>
                        <w:tcW w:w="2312" w:type="dxa"/>
                        <w:shd w:val="clear" w:color="auto" w:fill="5B9BD5"/>
                        <w:noWrap/>
                        <w:vAlign w:val="center"/>
                      </w:tcPr>
                      <w:p w14:paraId="0E8CD5A8" w14:textId="2E4FD0E7" w:rsidR="000A48C2" w:rsidRDefault="00707891" w:rsidP="000A48C2">
                        <w:pPr>
                          <w:spacing w:after="0" w:line="240" w:lineRule="auto"/>
                          <w:rPr>
                            <w:rFonts w:eastAsia="SimSun" w:cs="Times New Roman"/>
                            <w:b/>
                            <w:szCs w:val="18"/>
                          </w:rPr>
                        </w:pPr>
                        <w:r>
                          <w:rPr>
                            <w:rFonts w:eastAsia="SimSun" w:cs="Times New Roman"/>
                            <w:b/>
                            <w:color w:val="000000"/>
                            <w:szCs w:val="18"/>
                          </w:rPr>
                          <w:t>财年截止日期</w:t>
                        </w:r>
                        <w:r w:rsidR="00FD7DD3">
                          <w:rPr>
                            <w:rFonts w:eastAsia="SimSun" w:cs="Times New Roman"/>
                            <w:b/>
                            <w:color w:val="000000"/>
                            <w:szCs w:val="18"/>
                          </w:rPr>
                          <w:t>12</w:t>
                        </w:r>
                        <w:r w:rsidR="000A48C2">
                          <w:rPr>
                            <w:rFonts w:eastAsia="SimSun" w:cs="Times New Roman"/>
                            <w:b/>
                            <w:color w:val="000000"/>
                            <w:szCs w:val="18"/>
                          </w:rPr>
                          <w:t>月</w:t>
                        </w:r>
                        <w:r w:rsidR="000A48C2">
                          <w:rPr>
                            <w:rFonts w:eastAsia="SimSun" w:cs="Times New Roman"/>
                            <w:b/>
                            <w:color w:val="000000"/>
                            <w:szCs w:val="18"/>
                          </w:rPr>
                          <w:t>31</w:t>
                        </w:r>
                        <w:r w:rsidR="000A48C2">
                          <w:rPr>
                            <w:rFonts w:eastAsia="SimSun" w:cs="Times New Roman"/>
                            <w:b/>
                            <w:color w:val="000000"/>
                            <w:szCs w:val="18"/>
                          </w:rPr>
                          <w:t>日</w:t>
                        </w:r>
                      </w:p>
                    </w:tc>
                    <w:tc>
                      <w:tcPr>
                        <w:tcW w:w="851" w:type="dxa"/>
                        <w:shd w:val="clear" w:color="auto" w:fill="5B9BD5"/>
                        <w:noWrap/>
                        <w:vAlign w:val="center"/>
                      </w:tcPr>
                      <w:p w14:paraId="4BED55F6" w14:textId="0772FDBA" w:rsidR="000A48C2" w:rsidRDefault="002C1D70" w:rsidP="0029614B">
                        <w:pPr>
                          <w:spacing w:after="0" w:line="240" w:lineRule="auto"/>
                          <w:jc w:val="center"/>
                          <w:rPr>
                            <w:rFonts w:eastAsia="SimSun" w:cs="Times New Roman"/>
                            <w:b/>
                            <w:szCs w:val="18"/>
                          </w:rPr>
                        </w:pPr>
                        <w:r>
                          <w:rPr>
                            <w:rFonts w:eastAsia="DengXian" w:cs="Times New Roman"/>
                            <w:b/>
                            <w:bCs/>
                            <w:color w:val="000000"/>
                            <w:szCs w:val="18"/>
                          </w:rPr>
                          <w:t>2021</w:t>
                        </w:r>
                      </w:p>
                    </w:tc>
                    <w:tc>
                      <w:tcPr>
                        <w:tcW w:w="850" w:type="dxa"/>
                        <w:shd w:val="clear" w:color="auto" w:fill="5B9BD5"/>
                        <w:noWrap/>
                        <w:vAlign w:val="center"/>
                      </w:tcPr>
                      <w:p w14:paraId="6B07A697" w14:textId="4AC40966" w:rsidR="000A48C2" w:rsidRDefault="002C1D70" w:rsidP="0029614B">
                        <w:pPr>
                          <w:spacing w:after="0" w:line="240" w:lineRule="auto"/>
                          <w:jc w:val="center"/>
                          <w:rPr>
                            <w:rFonts w:eastAsia="SimSun" w:cs="Times New Roman"/>
                            <w:b/>
                            <w:szCs w:val="18"/>
                          </w:rPr>
                        </w:pPr>
                        <w:r>
                          <w:rPr>
                            <w:rFonts w:eastAsia="DengXian" w:cs="Times New Roman"/>
                            <w:b/>
                            <w:bCs/>
                            <w:color w:val="000000"/>
                            <w:szCs w:val="18"/>
                          </w:rPr>
                          <w:t>2022</w:t>
                        </w:r>
                      </w:p>
                    </w:tc>
                    <w:tc>
                      <w:tcPr>
                        <w:tcW w:w="992" w:type="dxa"/>
                        <w:shd w:val="clear" w:color="auto" w:fill="5B9BD5"/>
                        <w:noWrap/>
                        <w:vAlign w:val="center"/>
                      </w:tcPr>
                      <w:p w14:paraId="1F8EE219" w14:textId="155C1439" w:rsidR="000A48C2" w:rsidRDefault="002C1D70" w:rsidP="0029614B">
                        <w:pPr>
                          <w:spacing w:after="0" w:line="240" w:lineRule="auto"/>
                          <w:jc w:val="center"/>
                          <w:rPr>
                            <w:rFonts w:eastAsia="SimSun" w:cs="Times New Roman"/>
                            <w:b/>
                            <w:szCs w:val="18"/>
                          </w:rPr>
                        </w:pPr>
                        <w:r>
                          <w:rPr>
                            <w:rFonts w:eastAsia="DengXian" w:cs="Times New Roman"/>
                            <w:b/>
                            <w:bCs/>
                            <w:color w:val="000000"/>
                            <w:szCs w:val="18"/>
                          </w:rPr>
                          <w:t>2023E</w:t>
                        </w:r>
                      </w:p>
                    </w:tc>
                    <w:tc>
                      <w:tcPr>
                        <w:tcW w:w="993" w:type="dxa"/>
                        <w:shd w:val="clear" w:color="auto" w:fill="5B9BD5"/>
                        <w:noWrap/>
                        <w:vAlign w:val="center"/>
                      </w:tcPr>
                      <w:p w14:paraId="47849AA5" w14:textId="175DCCA6" w:rsidR="000A48C2" w:rsidRDefault="002C1D70" w:rsidP="0029614B">
                        <w:pPr>
                          <w:spacing w:after="0" w:line="240" w:lineRule="auto"/>
                          <w:jc w:val="center"/>
                          <w:rPr>
                            <w:rFonts w:eastAsia="SimSun" w:cs="Times New Roman"/>
                            <w:b/>
                            <w:szCs w:val="18"/>
                          </w:rPr>
                        </w:pPr>
                        <w:r>
                          <w:rPr>
                            <w:rFonts w:eastAsia="DengXian" w:cs="Times New Roman"/>
                            <w:b/>
                            <w:bCs/>
                            <w:color w:val="000000"/>
                            <w:szCs w:val="18"/>
                          </w:rPr>
                          <w:t>2024E</w:t>
                        </w:r>
                      </w:p>
                    </w:tc>
                    <w:tc>
                      <w:tcPr>
                        <w:tcW w:w="1202" w:type="dxa"/>
                        <w:shd w:val="clear" w:color="auto" w:fill="5B9BD5"/>
                        <w:noWrap/>
                        <w:vAlign w:val="center"/>
                      </w:tcPr>
                      <w:p w14:paraId="452D834F" w14:textId="2CFBDD86" w:rsidR="000A48C2" w:rsidRDefault="002C1D70" w:rsidP="0029614B">
                        <w:pPr>
                          <w:spacing w:after="0" w:line="240" w:lineRule="auto"/>
                          <w:jc w:val="center"/>
                          <w:rPr>
                            <w:rFonts w:eastAsia="SimSun" w:cs="Times New Roman"/>
                            <w:b/>
                            <w:szCs w:val="18"/>
                          </w:rPr>
                        </w:pPr>
                        <w:r>
                          <w:rPr>
                            <w:rFonts w:eastAsia="DengXian" w:cs="Times New Roman"/>
                            <w:b/>
                            <w:bCs/>
                            <w:color w:val="000000"/>
                            <w:szCs w:val="18"/>
                          </w:rPr>
                          <w:t>2025E</w:t>
                        </w:r>
                      </w:p>
                    </w:tc>
                  </w:tr>
                  <w:tr w:rsidR="00833716" w14:paraId="63FA1252" w14:textId="77777777" w:rsidTr="00707891">
                    <w:trPr>
                      <w:trHeight w:val="324"/>
                      <w:jc w:val="center"/>
                    </w:trPr>
                    <w:tc>
                      <w:tcPr>
                        <w:tcW w:w="2312" w:type="dxa"/>
                        <w:shd w:val="clear" w:color="auto" w:fill="auto"/>
                        <w:noWrap/>
                        <w:vAlign w:val="center"/>
                      </w:tcPr>
                      <w:p w14:paraId="437B9883" w14:textId="77777777" w:rsidR="00833716" w:rsidRDefault="00343CE3">
                        <w:pPr>
                          <w:spacing w:after="0" w:line="240" w:lineRule="auto"/>
                          <w:jc w:val="both"/>
                          <w:rPr>
                            <w:rFonts w:eastAsia="SimSun" w:cs="Times New Roman"/>
                            <w:b/>
                            <w:szCs w:val="18"/>
                          </w:rPr>
                        </w:pPr>
                        <w:r>
                          <w:rPr>
                            <w:rFonts w:cs="Times New Roman"/>
                            <w:b/>
                            <w:szCs w:val="18"/>
                          </w:rPr>
                          <w:t>营业收入</w:t>
                        </w:r>
                        <w:r>
                          <w:rPr>
                            <w:rFonts w:cs="Times New Roman"/>
                            <w:b/>
                            <w:szCs w:val="18"/>
                          </w:rPr>
                          <w:t>(</w:t>
                        </w:r>
                        <w:r>
                          <w:rPr>
                            <w:rFonts w:cs="Times New Roman"/>
                            <w:b/>
                            <w:szCs w:val="18"/>
                          </w:rPr>
                          <w:t>百万</w:t>
                        </w:r>
                        <w:r>
                          <w:rPr>
                            <w:rFonts w:cs="Times New Roman" w:hint="eastAsia"/>
                            <w:b/>
                            <w:szCs w:val="18"/>
                          </w:rPr>
                          <w:t>元人民币</w:t>
                        </w:r>
                        <w:r>
                          <w:rPr>
                            <w:rFonts w:cs="Times New Roman"/>
                            <w:b/>
                            <w:szCs w:val="18"/>
                          </w:rPr>
                          <w:t>）</w:t>
                        </w:r>
                      </w:p>
                    </w:tc>
                    <w:tc>
                      <w:tcPr>
                        <w:tcW w:w="851" w:type="dxa"/>
                        <w:shd w:val="clear" w:color="000000" w:fill="FFFFFF"/>
                        <w:noWrap/>
                        <w:vAlign w:val="center"/>
                      </w:tcPr>
                      <w:p w14:paraId="7796C1D0" w14:textId="3A099475" w:rsidR="00833716" w:rsidRDefault="00707891" w:rsidP="00FA7E22">
                        <w:pPr>
                          <w:spacing w:after="0" w:line="240" w:lineRule="auto"/>
                          <w:jc w:val="right"/>
                          <w:rPr>
                            <w:rFonts w:eastAsia="Arial Unicode MS" w:cs="Times New Roman"/>
                            <w:szCs w:val="18"/>
                          </w:rPr>
                        </w:pPr>
                        <w:r w:rsidRPr="00707891">
                          <w:rPr>
                            <w:rFonts w:eastAsia="DengXian" w:cs="Times New Roman"/>
                            <w:color w:val="000000"/>
                            <w:szCs w:val="18"/>
                          </w:rPr>
                          <w:t>848,258</w:t>
                        </w:r>
                      </w:p>
                    </w:tc>
                    <w:tc>
                      <w:tcPr>
                        <w:tcW w:w="850" w:type="dxa"/>
                        <w:shd w:val="clear" w:color="000000" w:fill="FFFFFF"/>
                        <w:noWrap/>
                        <w:vAlign w:val="center"/>
                      </w:tcPr>
                      <w:p w14:paraId="6D963BCD" w14:textId="09617FC2" w:rsidR="00833716" w:rsidRDefault="00707891" w:rsidP="00FA7E22">
                        <w:pPr>
                          <w:spacing w:after="0" w:line="240" w:lineRule="auto"/>
                          <w:jc w:val="right"/>
                          <w:rPr>
                            <w:rFonts w:eastAsia="Arial Unicode MS" w:cs="Times New Roman"/>
                            <w:szCs w:val="18"/>
                          </w:rPr>
                        </w:pPr>
                        <w:r w:rsidRPr="00707891">
                          <w:rPr>
                            <w:rFonts w:eastAsia="DengXian" w:cs="Times New Roman"/>
                            <w:color w:val="000000"/>
                            <w:szCs w:val="18"/>
                          </w:rPr>
                          <w:t>937,259</w:t>
                        </w:r>
                      </w:p>
                    </w:tc>
                    <w:tc>
                      <w:tcPr>
                        <w:tcW w:w="992" w:type="dxa"/>
                        <w:shd w:val="clear" w:color="000000" w:fill="FFFFFF"/>
                        <w:noWrap/>
                        <w:vAlign w:val="center"/>
                      </w:tcPr>
                      <w:p w14:paraId="37810F66" w14:textId="3E9C77A9" w:rsidR="00833716" w:rsidRDefault="00707891" w:rsidP="00FA7E22">
                        <w:pPr>
                          <w:spacing w:after="0" w:line="240" w:lineRule="auto"/>
                          <w:jc w:val="right"/>
                          <w:rPr>
                            <w:rFonts w:eastAsia="Arial Unicode MS" w:cs="Times New Roman"/>
                            <w:szCs w:val="18"/>
                          </w:rPr>
                        </w:pPr>
                        <w:r w:rsidRPr="00707891">
                          <w:rPr>
                            <w:rFonts w:eastAsia="DengXian" w:cs="Times New Roman"/>
                            <w:color w:val="000000"/>
                            <w:szCs w:val="18"/>
                          </w:rPr>
                          <w:t>1,018,713</w:t>
                        </w:r>
                      </w:p>
                    </w:tc>
                    <w:tc>
                      <w:tcPr>
                        <w:tcW w:w="993" w:type="dxa"/>
                        <w:shd w:val="clear" w:color="000000" w:fill="FFFFFF"/>
                        <w:noWrap/>
                        <w:vAlign w:val="center"/>
                      </w:tcPr>
                      <w:p w14:paraId="6D38937E" w14:textId="6C3E3F91" w:rsidR="00833716" w:rsidRDefault="00707891" w:rsidP="00FA7E22">
                        <w:pPr>
                          <w:spacing w:after="0" w:line="240" w:lineRule="auto"/>
                          <w:jc w:val="right"/>
                          <w:rPr>
                            <w:rFonts w:eastAsia="Arial Unicode MS" w:cs="Times New Roman"/>
                            <w:szCs w:val="18"/>
                          </w:rPr>
                        </w:pPr>
                        <w:r w:rsidRPr="00707891">
                          <w:rPr>
                            <w:rFonts w:eastAsia="DengXian" w:cs="Times New Roman"/>
                            <w:color w:val="000000"/>
                            <w:szCs w:val="18"/>
                          </w:rPr>
                          <w:t>1,104,705</w:t>
                        </w:r>
                      </w:p>
                    </w:tc>
                    <w:tc>
                      <w:tcPr>
                        <w:tcW w:w="1202" w:type="dxa"/>
                        <w:shd w:val="clear" w:color="000000" w:fill="FFFFFF"/>
                        <w:noWrap/>
                        <w:vAlign w:val="center"/>
                      </w:tcPr>
                      <w:p w14:paraId="2E7F4801" w14:textId="1FEBE1E2" w:rsidR="00833716" w:rsidRDefault="00707891" w:rsidP="00FA7E22">
                        <w:pPr>
                          <w:spacing w:after="0" w:line="240" w:lineRule="auto"/>
                          <w:jc w:val="right"/>
                          <w:rPr>
                            <w:rFonts w:eastAsia="Arial Unicode MS" w:cs="Times New Roman"/>
                            <w:szCs w:val="18"/>
                          </w:rPr>
                        </w:pPr>
                        <w:r w:rsidRPr="00707891">
                          <w:rPr>
                            <w:rFonts w:eastAsia="DengXian" w:cs="Times New Roman"/>
                            <w:color w:val="000000"/>
                            <w:szCs w:val="18"/>
                          </w:rPr>
                          <w:t>1,192,977</w:t>
                        </w:r>
                      </w:p>
                    </w:tc>
                  </w:tr>
                  <w:tr w:rsidR="00D3659A" w14:paraId="0FFC4821" w14:textId="77777777" w:rsidTr="00D3659A">
                    <w:trPr>
                      <w:trHeight w:val="324"/>
                      <w:jc w:val="center"/>
                    </w:trPr>
                    <w:tc>
                      <w:tcPr>
                        <w:tcW w:w="2312" w:type="dxa"/>
                        <w:shd w:val="clear" w:color="auto" w:fill="auto"/>
                        <w:noWrap/>
                        <w:vAlign w:val="center"/>
                      </w:tcPr>
                      <w:p w14:paraId="0B9DCA54" w14:textId="77777777" w:rsidR="00D3659A" w:rsidRDefault="00D3659A" w:rsidP="00D3659A">
                        <w:pPr>
                          <w:spacing w:after="0" w:line="240" w:lineRule="auto"/>
                          <w:jc w:val="both"/>
                          <w:rPr>
                            <w:rFonts w:eastAsia="SimSun" w:cs="Times New Roman"/>
                            <w:b/>
                            <w:szCs w:val="18"/>
                          </w:rPr>
                        </w:pPr>
                        <w:r>
                          <w:rPr>
                            <w:rFonts w:cs="Times New Roman"/>
                            <w:b/>
                            <w:szCs w:val="18"/>
                          </w:rPr>
                          <w:t>净利润（百万</w:t>
                        </w:r>
                        <w:r>
                          <w:rPr>
                            <w:rFonts w:cs="Times New Roman" w:hint="eastAsia"/>
                            <w:b/>
                            <w:szCs w:val="18"/>
                          </w:rPr>
                          <w:t>元人民币</w:t>
                        </w:r>
                        <w:r>
                          <w:rPr>
                            <w:rFonts w:cs="Times New Roman"/>
                            <w:b/>
                            <w:szCs w:val="18"/>
                          </w:rPr>
                          <w:t>）</w:t>
                        </w:r>
                      </w:p>
                    </w:tc>
                    <w:tc>
                      <w:tcPr>
                        <w:tcW w:w="851" w:type="dxa"/>
                        <w:shd w:val="clear" w:color="000000" w:fill="FFFFFF"/>
                        <w:noWrap/>
                        <w:vAlign w:val="center"/>
                      </w:tcPr>
                      <w:p w14:paraId="3F67B9A1" w14:textId="2668C117" w:rsidR="00D3659A" w:rsidRPr="00D3659A" w:rsidRDefault="00D3659A" w:rsidP="00FA7E22">
                        <w:pPr>
                          <w:spacing w:after="0" w:line="240" w:lineRule="auto"/>
                          <w:jc w:val="right"/>
                          <w:rPr>
                            <w:rFonts w:eastAsia="DengXian" w:cs="Times New Roman"/>
                            <w:color w:val="000000"/>
                            <w:szCs w:val="18"/>
                          </w:rPr>
                        </w:pPr>
                        <w:r w:rsidRPr="00D3659A">
                          <w:rPr>
                            <w:rFonts w:eastAsia="DengXian" w:cs="Times New Roman"/>
                            <w:color w:val="000000"/>
                            <w:szCs w:val="18"/>
                          </w:rPr>
                          <w:t>116,148</w:t>
                        </w:r>
                      </w:p>
                    </w:tc>
                    <w:tc>
                      <w:tcPr>
                        <w:tcW w:w="850" w:type="dxa"/>
                        <w:shd w:val="clear" w:color="000000" w:fill="FFFFFF"/>
                        <w:noWrap/>
                        <w:vAlign w:val="center"/>
                      </w:tcPr>
                      <w:p w14:paraId="09492969" w14:textId="6293D9A9" w:rsidR="00D3659A" w:rsidRPr="00D3659A" w:rsidRDefault="00D3659A" w:rsidP="00FA7E22">
                        <w:pPr>
                          <w:spacing w:after="0" w:line="240" w:lineRule="auto"/>
                          <w:jc w:val="right"/>
                          <w:rPr>
                            <w:rFonts w:eastAsia="DengXian" w:cs="Times New Roman"/>
                            <w:color w:val="000000"/>
                            <w:szCs w:val="18"/>
                          </w:rPr>
                        </w:pPr>
                        <w:r w:rsidRPr="00D3659A">
                          <w:rPr>
                            <w:rFonts w:eastAsia="DengXian" w:cs="Times New Roman"/>
                            <w:color w:val="000000"/>
                            <w:szCs w:val="18"/>
                          </w:rPr>
                          <w:t>125,459</w:t>
                        </w:r>
                      </w:p>
                    </w:tc>
                    <w:tc>
                      <w:tcPr>
                        <w:tcW w:w="992" w:type="dxa"/>
                        <w:shd w:val="clear" w:color="000000" w:fill="FFFFFF"/>
                        <w:noWrap/>
                        <w:vAlign w:val="center"/>
                      </w:tcPr>
                      <w:p w14:paraId="56C66567" w14:textId="2E797849" w:rsidR="00D3659A" w:rsidRPr="00D3659A" w:rsidRDefault="00D3659A" w:rsidP="00FA7E22">
                        <w:pPr>
                          <w:spacing w:after="0" w:line="240" w:lineRule="auto"/>
                          <w:jc w:val="right"/>
                          <w:rPr>
                            <w:rFonts w:eastAsia="DengXian" w:cs="Times New Roman"/>
                            <w:color w:val="000000"/>
                            <w:szCs w:val="18"/>
                          </w:rPr>
                        </w:pPr>
                        <w:r w:rsidRPr="00D3659A">
                          <w:rPr>
                            <w:rFonts w:eastAsia="DengXian" w:cs="Times New Roman"/>
                            <w:color w:val="000000"/>
                            <w:szCs w:val="18"/>
                          </w:rPr>
                          <w:t>137,063</w:t>
                        </w:r>
                      </w:p>
                    </w:tc>
                    <w:tc>
                      <w:tcPr>
                        <w:tcW w:w="993" w:type="dxa"/>
                        <w:shd w:val="clear" w:color="000000" w:fill="FFFFFF"/>
                        <w:noWrap/>
                        <w:vAlign w:val="center"/>
                      </w:tcPr>
                      <w:p w14:paraId="142D0C78" w14:textId="6C394765" w:rsidR="00D3659A" w:rsidRPr="00D3659A" w:rsidRDefault="00D3659A" w:rsidP="00FA7E22">
                        <w:pPr>
                          <w:spacing w:after="0" w:line="240" w:lineRule="auto"/>
                          <w:jc w:val="right"/>
                          <w:rPr>
                            <w:rFonts w:eastAsia="DengXian" w:cs="Times New Roman"/>
                            <w:color w:val="000000"/>
                            <w:szCs w:val="18"/>
                          </w:rPr>
                        </w:pPr>
                        <w:r w:rsidRPr="00D3659A">
                          <w:rPr>
                            <w:rFonts w:eastAsia="DengXian" w:cs="Times New Roman"/>
                            <w:color w:val="000000"/>
                            <w:szCs w:val="18"/>
                          </w:rPr>
                          <w:t>151,075</w:t>
                        </w:r>
                      </w:p>
                    </w:tc>
                    <w:tc>
                      <w:tcPr>
                        <w:tcW w:w="1202" w:type="dxa"/>
                        <w:shd w:val="clear" w:color="000000" w:fill="FFFFFF"/>
                        <w:noWrap/>
                        <w:vAlign w:val="center"/>
                      </w:tcPr>
                      <w:p w14:paraId="1F440839" w14:textId="33717C70" w:rsidR="00D3659A" w:rsidRPr="00D3659A" w:rsidRDefault="00D3659A" w:rsidP="00FA7E22">
                        <w:pPr>
                          <w:spacing w:after="0" w:line="240" w:lineRule="auto"/>
                          <w:jc w:val="right"/>
                          <w:rPr>
                            <w:rFonts w:eastAsia="DengXian" w:cs="Times New Roman"/>
                            <w:color w:val="000000"/>
                            <w:szCs w:val="18"/>
                          </w:rPr>
                        </w:pPr>
                        <w:r w:rsidRPr="00D3659A">
                          <w:rPr>
                            <w:rFonts w:eastAsia="DengXian" w:cs="Times New Roman"/>
                            <w:color w:val="000000"/>
                            <w:szCs w:val="18"/>
                          </w:rPr>
                          <w:t>166,451</w:t>
                        </w:r>
                      </w:p>
                    </w:tc>
                  </w:tr>
                  <w:tr w:rsidR="00D3659A" w14:paraId="6AA4CE6D" w14:textId="77777777" w:rsidTr="00D3659A">
                    <w:trPr>
                      <w:trHeight w:val="324"/>
                      <w:jc w:val="center"/>
                    </w:trPr>
                    <w:tc>
                      <w:tcPr>
                        <w:tcW w:w="2312" w:type="dxa"/>
                        <w:shd w:val="clear" w:color="auto" w:fill="auto"/>
                        <w:noWrap/>
                        <w:vAlign w:val="center"/>
                      </w:tcPr>
                      <w:p w14:paraId="5C67D029" w14:textId="2CA37446" w:rsidR="00D3659A" w:rsidRDefault="00D3659A" w:rsidP="00D3659A">
                        <w:pPr>
                          <w:spacing w:after="0" w:line="240" w:lineRule="auto"/>
                          <w:jc w:val="both"/>
                          <w:rPr>
                            <w:rFonts w:eastAsia="SimSun" w:cs="Times New Roman"/>
                            <w:b/>
                            <w:szCs w:val="18"/>
                          </w:rPr>
                        </w:pPr>
                        <w:r>
                          <w:rPr>
                            <w:rFonts w:cs="Times New Roman"/>
                            <w:b/>
                            <w:szCs w:val="18"/>
                          </w:rPr>
                          <w:t>每股收益（</w:t>
                        </w:r>
                        <w:r>
                          <w:rPr>
                            <w:rFonts w:cs="Times New Roman" w:hint="eastAsia"/>
                            <w:b/>
                            <w:szCs w:val="18"/>
                          </w:rPr>
                          <w:t>元人民币</w:t>
                        </w:r>
                        <w:r>
                          <w:rPr>
                            <w:rFonts w:cs="Times New Roman"/>
                            <w:b/>
                            <w:szCs w:val="18"/>
                          </w:rPr>
                          <w:t>）</w:t>
                        </w:r>
                      </w:p>
                    </w:tc>
                    <w:tc>
                      <w:tcPr>
                        <w:tcW w:w="851" w:type="dxa"/>
                        <w:shd w:val="clear" w:color="000000" w:fill="FFFFFF"/>
                        <w:noWrap/>
                        <w:vAlign w:val="center"/>
                      </w:tcPr>
                      <w:p w14:paraId="15A99B40" w14:textId="5E1E77DF" w:rsidR="00D3659A" w:rsidRDefault="00D3659A" w:rsidP="00FA7E22">
                        <w:pPr>
                          <w:spacing w:after="0" w:line="240" w:lineRule="auto"/>
                          <w:jc w:val="right"/>
                          <w:rPr>
                            <w:rFonts w:eastAsia="Arial Unicode MS" w:cs="Times New Roman"/>
                            <w:szCs w:val="18"/>
                          </w:rPr>
                        </w:pPr>
                        <w:r>
                          <w:t>5.44</w:t>
                        </w:r>
                      </w:p>
                    </w:tc>
                    <w:tc>
                      <w:tcPr>
                        <w:tcW w:w="850" w:type="dxa"/>
                        <w:shd w:val="clear" w:color="000000" w:fill="FFFFFF"/>
                        <w:noWrap/>
                        <w:vAlign w:val="center"/>
                      </w:tcPr>
                      <w:p w14:paraId="26B59E60" w14:textId="45579167" w:rsidR="00D3659A" w:rsidRDefault="00D3659A" w:rsidP="00FA7E22">
                        <w:pPr>
                          <w:spacing w:after="0" w:line="240" w:lineRule="auto"/>
                          <w:jc w:val="right"/>
                          <w:rPr>
                            <w:rFonts w:eastAsia="Arial Unicode MS" w:cs="Times New Roman"/>
                            <w:szCs w:val="18"/>
                          </w:rPr>
                        </w:pPr>
                        <w:r>
                          <w:t>5.88</w:t>
                        </w:r>
                      </w:p>
                    </w:tc>
                    <w:tc>
                      <w:tcPr>
                        <w:tcW w:w="992" w:type="dxa"/>
                        <w:shd w:val="clear" w:color="000000" w:fill="FFFFFF"/>
                        <w:noWrap/>
                        <w:vAlign w:val="center"/>
                      </w:tcPr>
                      <w:p w14:paraId="20897E3A" w14:textId="4C41B0AC" w:rsidR="00D3659A" w:rsidRDefault="00D3659A" w:rsidP="00FA7E22">
                        <w:pPr>
                          <w:spacing w:after="0" w:line="240" w:lineRule="auto"/>
                          <w:jc w:val="right"/>
                          <w:rPr>
                            <w:rFonts w:eastAsia="Arial Unicode MS" w:cs="Times New Roman"/>
                            <w:szCs w:val="18"/>
                          </w:rPr>
                        </w:pPr>
                        <w:r>
                          <w:t>6.42</w:t>
                        </w:r>
                      </w:p>
                    </w:tc>
                    <w:tc>
                      <w:tcPr>
                        <w:tcW w:w="993" w:type="dxa"/>
                        <w:shd w:val="clear" w:color="000000" w:fill="FFFFFF"/>
                        <w:noWrap/>
                        <w:vAlign w:val="center"/>
                      </w:tcPr>
                      <w:p w14:paraId="55BC3722" w14:textId="70FBC32D" w:rsidR="00D3659A" w:rsidRDefault="00D3659A" w:rsidP="00FA7E22">
                        <w:pPr>
                          <w:spacing w:after="0" w:line="240" w:lineRule="auto"/>
                          <w:jc w:val="right"/>
                          <w:rPr>
                            <w:rFonts w:eastAsia="Arial Unicode MS" w:cs="Times New Roman"/>
                            <w:szCs w:val="18"/>
                          </w:rPr>
                        </w:pPr>
                        <w:r>
                          <w:t>7.08</w:t>
                        </w:r>
                      </w:p>
                    </w:tc>
                    <w:tc>
                      <w:tcPr>
                        <w:tcW w:w="1202" w:type="dxa"/>
                        <w:shd w:val="clear" w:color="000000" w:fill="FFFFFF"/>
                        <w:noWrap/>
                        <w:vAlign w:val="center"/>
                      </w:tcPr>
                      <w:p w14:paraId="309BF8CE" w14:textId="23BFAF94" w:rsidR="00D3659A" w:rsidRDefault="00D3659A" w:rsidP="00FA7E22">
                        <w:pPr>
                          <w:spacing w:after="0" w:line="240" w:lineRule="auto"/>
                          <w:jc w:val="right"/>
                          <w:rPr>
                            <w:rFonts w:eastAsia="Arial Unicode MS" w:cs="Times New Roman"/>
                            <w:szCs w:val="18"/>
                          </w:rPr>
                        </w:pPr>
                        <w:r w:rsidRPr="00AF7F81">
                          <w:t>7.80</w:t>
                        </w:r>
                      </w:p>
                    </w:tc>
                  </w:tr>
                  <w:tr w:rsidR="00833716" w14:paraId="35846AE8" w14:textId="77777777" w:rsidTr="00707891">
                    <w:trPr>
                      <w:trHeight w:val="324"/>
                      <w:jc w:val="center"/>
                    </w:trPr>
                    <w:tc>
                      <w:tcPr>
                        <w:tcW w:w="2312" w:type="dxa"/>
                        <w:shd w:val="clear" w:color="auto" w:fill="auto"/>
                        <w:noWrap/>
                        <w:vAlign w:val="center"/>
                      </w:tcPr>
                      <w:p w14:paraId="4F901266" w14:textId="77777777" w:rsidR="00833716" w:rsidRDefault="008E01A3">
                        <w:pPr>
                          <w:spacing w:after="0" w:line="240" w:lineRule="auto"/>
                          <w:jc w:val="both"/>
                          <w:rPr>
                            <w:rFonts w:eastAsia="SimSun" w:cs="Times New Roman"/>
                            <w:b/>
                            <w:szCs w:val="18"/>
                          </w:rPr>
                        </w:pPr>
                        <w:r>
                          <w:rPr>
                            <w:rFonts w:cs="Times New Roman" w:hint="eastAsia"/>
                            <w:b/>
                            <w:szCs w:val="18"/>
                          </w:rPr>
                          <w:t>净利润增长率</w:t>
                        </w:r>
                        <w:r w:rsidR="00343CE3">
                          <w:rPr>
                            <w:rFonts w:cs="Times New Roman"/>
                            <w:b/>
                            <w:szCs w:val="18"/>
                          </w:rPr>
                          <w:t>（</w:t>
                        </w:r>
                        <w:r w:rsidR="00343CE3">
                          <w:rPr>
                            <w:rFonts w:cs="Times New Roman"/>
                            <w:b/>
                            <w:szCs w:val="18"/>
                          </w:rPr>
                          <w:t>%</w:t>
                        </w:r>
                        <w:r w:rsidR="00343CE3">
                          <w:rPr>
                            <w:rFonts w:cs="Times New Roman"/>
                            <w:b/>
                            <w:szCs w:val="18"/>
                          </w:rPr>
                          <w:t>）</w:t>
                        </w:r>
                      </w:p>
                    </w:tc>
                    <w:tc>
                      <w:tcPr>
                        <w:tcW w:w="851" w:type="dxa"/>
                        <w:shd w:val="clear" w:color="000000" w:fill="FFFFFF"/>
                        <w:noWrap/>
                        <w:vAlign w:val="center"/>
                      </w:tcPr>
                      <w:p w14:paraId="651EB4FC" w14:textId="0D1FE1F0" w:rsidR="00833716" w:rsidRDefault="00D3659A" w:rsidP="00FA7E22">
                        <w:pPr>
                          <w:spacing w:after="0" w:line="240" w:lineRule="auto"/>
                          <w:jc w:val="right"/>
                          <w:rPr>
                            <w:rFonts w:eastAsia="Arial Unicode MS" w:cs="Times New Roman"/>
                            <w:szCs w:val="18"/>
                          </w:rPr>
                        </w:pPr>
                        <w:r>
                          <w:rPr>
                            <w:rFonts w:eastAsia="DengXian" w:cs="Times New Roman"/>
                            <w:color w:val="000000"/>
                            <w:szCs w:val="18"/>
                          </w:rPr>
                          <w:t>7.50</w:t>
                        </w:r>
                      </w:p>
                    </w:tc>
                    <w:tc>
                      <w:tcPr>
                        <w:tcW w:w="850" w:type="dxa"/>
                        <w:shd w:val="clear" w:color="000000" w:fill="FFFFFF"/>
                        <w:noWrap/>
                        <w:vAlign w:val="center"/>
                      </w:tcPr>
                      <w:p w14:paraId="661210E5" w14:textId="3C1E614C" w:rsidR="00833716" w:rsidRDefault="00D3659A" w:rsidP="00FA7E22">
                        <w:pPr>
                          <w:spacing w:after="0" w:line="240" w:lineRule="auto"/>
                          <w:jc w:val="right"/>
                          <w:rPr>
                            <w:rFonts w:eastAsia="Arial Unicode MS" w:cs="Times New Roman"/>
                            <w:szCs w:val="18"/>
                          </w:rPr>
                        </w:pPr>
                        <w:r>
                          <w:rPr>
                            <w:rFonts w:eastAsia="DengXian" w:cs="Times New Roman"/>
                            <w:color w:val="000000"/>
                            <w:szCs w:val="18"/>
                          </w:rPr>
                          <w:t>8.02</w:t>
                        </w:r>
                      </w:p>
                    </w:tc>
                    <w:tc>
                      <w:tcPr>
                        <w:tcW w:w="992" w:type="dxa"/>
                        <w:shd w:val="clear" w:color="000000" w:fill="FFFFFF"/>
                        <w:noWrap/>
                        <w:vAlign w:val="center"/>
                      </w:tcPr>
                      <w:p w14:paraId="5E1F09DD" w14:textId="05FF4C2A" w:rsidR="00833716" w:rsidRDefault="00D3659A" w:rsidP="00FA7E22">
                        <w:pPr>
                          <w:spacing w:after="0" w:line="240" w:lineRule="auto"/>
                          <w:jc w:val="right"/>
                          <w:rPr>
                            <w:rFonts w:eastAsia="Arial Unicode MS" w:cs="Times New Roman"/>
                            <w:szCs w:val="18"/>
                          </w:rPr>
                        </w:pPr>
                        <w:r>
                          <w:rPr>
                            <w:rFonts w:eastAsia="DengXian" w:cs="Times New Roman"/>
                            <w:color w:val="000000"/>
                            <w:szCs w:val="18"/>
                          </w:rPr>
                          <w:t>9.25</w:t>
                        </w:r>
                      </w:p>
                    </w:tc>
                    <w:tc>
                      <w:tcPr>
                        <w:tcW w:w="993" w:type="dxa"/>
                        <w:shd w:val="clear" w:color="000000" w:fill="FFFFFF"/>
                        <w:noWrap/>
                        <w:vAlign w:val="center"/>
                      </w:tcPr>
                      <w:p w14:paraId="67CA59F8" w14:textId="05C49FAE" w:rsidR="00833716" w:rsidRDefault="00D3659A" w:rsidP="00FA7E22">
                        <w:pPr>
                          <w:spacing w:after="0" w:line="240" w:lineRule="auto"/>
                          <w:jc w:val="right"/>
                          <w:rPr>
                            <w:rFonts w:eastAsia="Arial Unicode MS" w:cs="Times New Roman"/>
                            <w:szCs w:val="18"/>
                          </w:rPr>
                        </w:pPr>
                        <w:r>
                          <w:rPr>
                            <w:rFonts w:eastAsia="DengXian" w:cs="Times New Roman"/>
                            <w:color w:val="000000"/>
                            <w:szCs w:val="18"/>
                          </w:rPr>
                          <w:t>10.22</w:t>
                        </w:r>
                      </w:p>
                    </w:tc>
                    <w:tc>
                      <w:tcPr>
                        <w:tcW w:w="1202" w:type="dxa"/>
                        <w:shd w:val="clear" w:color="000000" w:fill="FFFFFF"/>
                        <w:noWrap/>
                        <w:vAlign w:val="center"/>
                      </w:tcPr>
                      <w:p w14:paraId="58EA7481" w14:textId="22CFB824" w:rsidR="00833716" w:rsidRDefault="00D3659A" w:rsidP="00FA7E22">
                        <w:pPr>
                          <w:spacing w:after="0" w:line="240" w:lineRule="auto"/>
                          <w:jc w:val="right"/>
                          <w:rPr>
                            <w:rFonts w:eastAsia="Arial Unicode MS" w:cs="Times New Roman"/>
                            <w:szCs w:val="18"/>
                          </w:rPr>
                        </w:pPr>
                        <w:r>
                          <w:rPr>
                            <w:rFonts w:eastAsia="DengXian" w:cs="Times New Roman"/>
                            <w:color w:val="000000"/>
                            <w:szCs w:val="18"/>
                          </w:rPr>
                          <w:t>10.18</w:t>
                        </w:r>
                      </w:p>
                    </w:tc>
                  </w:tr>
                  <w:tr w:rsidR="00D3659A" w14:paraId="761A9034" w14:textId="77777777" w:rsidTr="00D3659A">
                    <w:trPr>
                      <w:trHeight w:val="324"/>
                      <w:jc w:val="center"/>
                    </w:trPr>
                    <w:tc>
                      <w:tcPr>
                        <w:tcW w:w="2312" w:type="dxa"/>
                        <w:shd w:val="clear" w:color="auto" w:fill="auto"/>
                        <w:noWrap/>
                        <w:vAlign w:val="center"/>
                      </w:tcPr>
                      <w:p w14:paraId="34060B4B" w14:textId="77777777" w:rsidR="00D3659A" w:rsidRDefault="00D3659A" w:rsidP="00D3659A">
                        <w:pPr>
                          <w:spacing w:after="0" w:line="240" w:lineRule="auto"/>
                          <w:jc w:val="both"/>
                          <w:rPr>
                            <w:rFonts w:eastAsia="SimSun" w:cs="Times New Roman"/>
                            <w:b/>
                            <w:szCs w:val="18"/>
                          </w:rPr>
                        </w:pPr>
                        <w:r>
                          <w:rPr>
                            <w:rFonts w:cs="Times New Roman"/>
                            <w:b/>
                            <w:szCs w:val="18"/>
                          </w:rPr>
                          <w:t>市盈率</w:t>
                        </w:r>
                        <w:r>
                          <w:rPr>
                            <w:rFonts w:cs="Times New Roman"/>
                            <w:b/>
                            <w:szCs w:val="18"/>
                          </w:rPr>
                          <w:t>(P/E)</w:t>
                        </w:r>
                      </w:p>
                    </w:tc>
                    <w:tc>
                      <w:tcPr>
                        <w:tcW w:w="851" w:type="dxa"/>
                        <w:shd w:val="clear" w:color="000000" w:fill="FFFFFF"/>
                        <w:noWrap/>
                        <w:vAlign w:val="center"/>
                      </w:tcPr>
                      <w:p w14:paraId="66EBFAE2" w14:textId="5E46AD17" w:rsidR="00D3659A" w:rsidRDefault="00F54E9E" w:rsidP="00FA7E22">
                        <w:pPr>
                          <w:spacing w:after="0" w:line="240" w:lineRule="auto"/>
                          <w:jc w:val="right"/>
                          <w:rPr>
                            <w:rFonts w:eastAsia="Arial Unicode MS" w:cs="Times New Roman"/>
                            <w:szCs w:val="18"/>
                          </w:rPr>
                        </w:pPr>
                        <w:r>
                          <w:t>11.10</w:t>
                        </w:r>
                      </w:p>
                    </w:tc>
                    <w:tc>
                      <w:tcPr>
                        <w:tcW w:w="850" w:type="dxa"/>
                        <w:shd w:val="clear" w:color="000000" w:fill="FFFFFF"/>
                        <w:noWrap/>
                        <w:vAlign w:val="center"/>
                      </w:tcPr>
                      <w:p w14:paraId="0604AA9D" w14:textId="76C48D7A" w:rsidR="00D3659A" w:rsidRDefault="00F54E9E" w:rsidP="00FA7E22">
                        <w:pPr>
                          <w:spacing w:after="0" w:line="240" w:lineRule="auto"/>
                          <w:jc w:val="right"/>
                          <w:rPr>
                            <w:rFonts w:eastAsia="Arial Unicode MS" w:cs="Times New Roman"/>
                            <w:szCs w:val="18"/>
                          </w:rPr>
                        </w:pPr>
                        <w:r>
                          <w:t>10.28</w:t>
                        </w:r>
                      </w:p>
                    </w:tc>
                    <w:tc>
                      <w:tcPr>
                        <w:tcW w:w="992" w:type="dxa"/>
                        <w:shd w:val="clear" w:color="000000" w:fill="FFFFFF"/>
                        <w:noWrap/>
                        <w:vAlign w:val="center"/>
                      </w:tcPr>
                      <w:p w14:paraId="7C11FBD5" w14:textId="686737B2" w:rsidR="00D3659A" w:rsidRDefault="00D3659A" w:rsidP="00FA7E22">
                        <w:pPr>
                          <w:spacing w:after="0" w:line="240" w:lineRule="auto"/>
                          <w:jc w:val="right"/>
                          <w:rPr>
                            <w:rFonts w:eastAsia="Arial Unicode MS" w:cs="Times New Roman"/>
                            <w:szCs w:val="18"/>
                          </w:rPr>
                        </w:pPr>
                        <w:r w:rsidRPr="009C4662">
                          <w:t>9.41</w:t>
                        </w:r>
                      </w:p>
                    </w:tc>
                    <w:tc>
                      <w:tcPr>
                        <w:tcW w:w="993" w:type="dxa"/>
                        <w:shd w:val="clear" w:color="000000" w:fill="FFFFFF"/>
                        <w:noWrap/>
                        <w:vAlign w:val="center"/>
                      </w:tcPr>
                      <w:p w14:paraId="58F7206D" w14:textId="2F12DE6B" w:rsidR="00D3659A" w:rsidRDefault="00F54E9E" w:rsidP="00FA7E22">
                        <w:pPr>
                          <w:spacing w:after="0" w:line="240" w:lineRule="auto"/>
                          <w:jc w:val="right"/>
                          <w:rPr>
                            <w:rFonts w:eastAsia="Arial Unicode MS" w:cs="Times New Roman"/>
                            <w:szCs w:val="18"/>
                          </w:rPr>
                        </w:pPr>
                        <w:r>
                          <w:t>8.53</w:t>
                        </w:r>
                      </w:p>
                    </w:tc>
                    <w:tc>
                      <w:tcPr>
                        <w:tcW w:w="1202" w:type="dxa"/>
                        <w:shd w:val="clear" w:color="000000" w:fill="FFFFFF"/>
                        <w:noWrap/>
                        <w:vAlign w:val="center"/>
                      </w:tcPr>
                      <w:p w14:paraId="1BA3CDCA" w14:textId="0BBF80E8" w:rsidR="00D3659A" w:rsidRDefault="00D3659A" w:rsidP="00FA7E22">
                        <w:pPr>
                          <w:spacing w:after="0" w:line="240" w:lineRule="auto"/>
                          <w:jc w:val="right"/>
                          <w:rPr>
                            <w:rFonts w:eastAsia="Arial Unicode MS" w:cs="Times New Roman"/>
                            <w:szCs w:val="18"/>
                          </w:rPr>
                        </w:pPr>
                        <w:r w:rsidRPr="009C4662">
                          <w:t>7.75</w:t>
                        </w:r>
                      </w:p>
                    </w:tc>
                  </w:tr>
                </w:tbl>
                <w:p w14:paraId="741B0237" w14:textId="77777777" w:rsidR="00833716" w:rsidRDefault="00833716">
                  <w:pPr>
                    <w:rPr>
                      <w:rFonts w:eastAsia="SimSun" w:cs="Times New Roman"/>
                      <w:sz w:val="20"/>
                      <w:szCs w:val="20"/>
                    </w:rPr>
                  </w:pPr>
                </w:p>
              </w:tc>
            </w:tr>
          </w:tbl>
          <w:p w14:paraId="2DB716F7" w14:textId="77777777" w:rsidR="00833716" w:rsidRDefault="00343CE3">
            <w:pPr>
              <w:pStyle w:val="TopCalls"/>
              <w:jc w:val="both"/>
              <w:rPr>
                <w:rFonts w:ascii="Times New Roman" w:hAnsi="Times New Roman" w:cs="Times New Roman"/>
                <w:i/>
                <w:color w:val="1F4E79" w:themeColor="accent1" w:themeShade="80"/>
                <w:sz w:val="14"/>
                <w:szCs w:val="14"/>
              </w:rPr>
            </w:pPr>
            <w:r>
              <w:rPr>
                <w:rFonts w:ascii="Times New Roman" w:hAnsi="Times New Roman" w:cs="Times New Roman"/>
                <w:i/>
                <w:color w:val="1F4E79" w:themeColor="accent1" w:themeShade="80"/>
                <w:sz w:val="14"/>
                <w:szCs w:val="14"/>
              </w:rPr>
              <w:t>资料来源：</w:t>
            </w:r>
            <w:r w:rsidR="00120D47">
              <w:rPr>
                <w:rFonts w:ascii="Times New Roman" w:hAnsi="Times New Roman" w:cs="Times New Roman" w:hint="eastAsia"/>
                <w:i/>
                <w:color w:val="1F4E79" w:themeColor="accent1" w:themeShade="80"/>
                <w:sz w:val="14"/>
                <w:szCs w:val="14"/>
              </w:rPr>
              <w:t>公司财报</w:t>
            </w:r>
            <w:r>
              <w:rPr>
                <w:rFonts w:ascii="Times New Roman" w:hAnsi="Times New Roman" w:cs="Times New Roman"/>
                <w:i/>
                <w:color w:val="1F4E79" w:themeColor="accent1" w:themeShade="80"/>
                <w:sz w:val="14"/>
                <w:szCs w:val="14"/>
              </w:rPr>
              <w:t>，广发证券</w:t>
            </w:r>
            <w:r>
              <w:rPr>
                <w:rFonts w:ascii="Times New Roman" w:hAnsi="Times New Roman" w:cs="Times New Roman"/>
                <w:i/>
                <w:color w:val="1F4E79" w:themeColor="accent1" w:themeShade="80"/>
                <w:sz w:val="14"/>
                <w:szCs w:val="14"/>
              </w:rPr>
              <w:t xml:space="preserve"> (</w:t>
            </w:r>
            <w:r>
              <w:rPr>
                <w:rFonts w:ascii="Times New Roman" w:hAnsi="Times New Roman" w:cs="Times New Roman"/>
                <w:i/>
                <w:color w:val="1F4E79" w:themeColor="accent1" w:themeShade="80"/>
                <w:sz w:val="14"/>
                <w:szCs w:val="14"/>
              </w:rPr>
              <w:t>香港</w:t>
            </w:r>
            <w:r>
              <w:rPr>
                <w:rFonts w:ascii="Times New Roman" w:hAnsi="Times New Roman" w:cs="Times New Roman"/>
                <w:i/>
                <w:color w:val="1F4E79" w:themeColor="accent1" w:themeShade="80"/>
                <w:sz w:val="14"/>
                <w:szCs w:val="14"/>
              </w:rPr>
              <w:t>)</w:t>
            </w:r>
            <w:r>
              <w:rPr>
                <w:rFonts w:ascii="Times New Roman" w:hAnsi="Times New Roman" w:cs="Times New Roman"/>
                <w:i/>
                <w:color w:val="1F4E79" w:themeColor="accent1" w:themeShade="80"/>
                <w:sz w:val="14"/>
                <w:szCs w:val="14"/>
              </w:rPr>
              <w:t>经纪财富研究</w:t>
            </w:r>
          </w:p>
        </w:tc>
      </w:tr>
    </w:tbl>
    <w:p w14:paraId="5A5780E1" w14:textId="77777777" w:rsidR="00833716" w:rsidRDefault="00833716">
      <w:pPr>
        <w:spacing w:after="0" w:line="240" w:lineRule="auto"/>
        <w:rPr>
          <w:rFonts w:cs="Times New Roman"/>
          <w:sz w:val="20"/>
          <w:szCs w:val="20"/>
        </w:rPr>
        <w:sectPr w:rsidR="00833716" w:rsidSect="001F474D">
          <w:headerReference w:type="default" r:id="rId14"/>
          <w:footerReference w:type="default" r:id="rId15"/>
          <w:headerReference w:type="first" r:id="rId16"/>
          <w:pgSz w:w="12240" w:h="15840"/>
          <w:pgMar w:top="3060" w:right="1440" w:bottom="86" w:left="1440" w:header="0" w:footer="86" w:gutter="0"/>
          <w:cols w:space="720"/>
          <w:titlePg/>
          <w:docGrid w:linePitch="360"/>
        </w:sectPr>
      </w:pPr>
    </w:p>
    <w:p w14:paraId="5ACA32C4" w14:textId="21F94441" w:rsidR="009F14D2" w:rsidRPr="00595EAC" w:rsidRDefault="00D91382" w:rsidP="009F14D2">
      <w:pPr>
        <w:spacing w:line="276" w:lineRule="auto"/>
        <w:rPr>
          <w:rFonts w:eastAsia="宋体..閰繷." w:cs="Times New Roman"/>
          <w:sz w:val="28"/>
          <w:szCs w:val="28"/>
        </w:rPr>
      </w:pPr>
      <w:r w:rsidRPr="00595EAC">
        <w:rPr>
          <w:rFonts w:eastAsia="宋体..閰繷." w:cs="Times New Roman" w:hint="eastAsia"/>
          <w:b/>
          <w:bCs/>
          <w:sz w:val="28"/>
          <w:szCs w:val="28"/>
        </w:rPr>
        <w:lastRenderedPageBreak/>
        <w:t>一、</w:t>
      </w:r>
      <w:r w:rsidRPr="00595EAC">
        <w:rPr>
          <w:rFonts w:eastAsia="宋体..閰繷." w:cs="Times New Roman" w:hint="eastAsia"/>
          <w:b/>
          <w:bCs/>
          <w:sz w:val="28"/>
          <w:szCs w:val="28"/>
        </w:rPr>
        <w:t>2022</w:t>
      </w:r>
      <w:r w:rsidRPr="00595EAC">
        <w:rPr>
          <w:rFonts w:eastAsia="宋体..閰繷." w:cs="Times New Roman" w:hint="eastAsia"/>
          <w:b/>
          <w:bCs/>
          <w:sz w:val="28"/>
          <w:szCs w:val="28"/>
        </w:rPr>
        <w:t>年业绩保持稳健增长，派息率持续提升</w:t>
      </w:r>
    </w:p>
    <w:p w14:paraId="367C939D" w14:textId="3A7EA3E1" w:rsidR="00EA36F9" w:rsidRPr="00D4203B" w:rsidRDefault="001F6C4F" w:rsidP="00D4203B">
      <w:pPr>
        <w:spacing w:beforeLines="50" w:before="120" w:afterLines="50" w:after="120" w:line="276" w:lineRule="auto"/>
        <w:jc w:val="both"/>
        <w:rPr>
          <w:rFonts w:eastAsia="宋体..閰繷." w:cs="Times New Roman"/>
          <w:szCs w:val="18"/>
        </w:rPr>
      </w:pPr>
      <w:r w:rsidRPr="00D4203B">
        <w:rPr>
          <w:rFonts w:eastAsia="宋体..閰繷." w:cs="Times New Roman" w:hint="eastAsia"/>
          <w:szCs w:val="18"/>
        </w:rPr>
        <w:t>中国移动近期发布</w:t>
      </w:r>
      <w:r w:rsidRPr="00D4203B">
        <w:rPr>
          <w:rFonts w:eastAsia="宋体..閰繷." w:cs="Times New Roman" w:hint="eastAsia"/>
          <w:szCs w:val="18"/>
        </w:rPr>
        <w:t>2022</w:t>
      </w:r>
      <w:r w:rsidRPr="00D4203B">
        <w:rPr>
          <w:rFonts w:eastAsia="宋体..閰繷." w:cs="Times New Roman" w:hint="eastAsia"/>
          <w:szCs w:val="18"/>
        </w:rPr>
        <w:t>年业绩，整体表现符合市场预期。营收方面，全年实现营收</w:t>
      </w:r>
      <w:r w:rsidRPr="00D4203B">
        <w:rPr>
          <w:rFonts w:eastAsia="宋体..閰繷." w:cs="Times New Roman" w:hint="eastAsia"/>
          <w:szCs w:val="18"/>
        </w:rPr>
        <w:t>9,373</w:t>
      </w:r>
      <w:r w:rsidRPr="00D4203B">
        <w:rPr>
          <w:rFonts w:eastAsia="宋体..閰繷." w:cs="Times New Roman" w:hint="eastAsia"/>
          <w:szCs w:val="18"/>
        </w:rPr>
        <w:t>亿元（人民币，下同），同比增长</w:t>
      </w:r>
      <w:r w:rsidRPr="00D4203B">
        <w:rPr>
          <w:rFonts w:eastAsia="宋体..閰繷." w:cs="Times New Roman" w:hint="eastAsia"/>
          <w:szCs w:val="18"/>
        </w:rPr>
        <w:t>10.5 %</w:t>
      </w:r>
      <w:r w:rsidR="00EA36F9" w:rsidRPr="00D4203B">
        <w:rPr>
          <w:rFonts w:eastAsia="宋体..閰繷." w:cs="Times New Roman" w:hint="eastAsia"/>
          <w:szCs w:val="18"/>
        </w:rPr>
        <w:t>。其中</w:t>
      </w:r>
      <w:r w:rsidRPr="00D4203B">
        <w:rPr>
          <w:rFonts w:eastAsia="宋体..閰繷." w:cs="Times New Roman" w:hint="eastAsia"/>
          <w:szCs w:val="18"/>
        </w:rPr>
        <w:t>通信服务收入达</w:t>
      </w:r>
      <w:r w:rsidRPr="00D4203B">
        <w:rPr>
          <w:rFonts w:eastAsia="宋体..閰繷." w:cs="Times New Roman" w:hint="eastAsia"/>
          <w:szCs w:val="18"/>
        </w:rPr>
        <w:t>8,121</w:t>
      </w:r>
      <w:r w:rsidRPr="00D4203B">
        <w:rPr>
          <w:rFonts w:eastAsia="宋体..閰繷." w:cs="Times New Roman" w:hint="eastAsia"/>
          <w:szCs w:val="18"/>
        </w:rPr>
        <w:t>亿元，同比增长</w:t>
      </w:r>
      <w:r w:rsidRPr="00D4203B">
        <w:rPr>
          <w:rFonts w:eastAsia="宋体..閰繷." w:cs="Times New Roman" w:hint="eastAsia"/>
          <w:szCs w:val="18"/>
        </w:rPr>
        <w:t>8.1%</w:t>
      </w:r>
      <w:r w:rsidRPr="00D4203B">
        <w:rPr>
          <w:rFonts w:eastAsia="宋体..閰繷." w:cs="Times New Roman" w:hint="eastAsia"/>
          <w:szCs w:val="18"/>
        </w:rPr>
        <w:t>，比前三季度增长略有加速。</w:t>
      </w:r>
      <w:bookmarkStart w:id="2" w:name="OLE_LINK3"/>
      <w:bookmarkStart w:id="3" w:name="OLE_LINK4"/>
      <w:bookmarkEnd w:id="2"/>
      <w:bookmarkEnd w:id="3"/>
      <w:r w:rsidR="00EA36F9" w:rsidRPr="00D4203B">
        <w:rPr>
          <w:rFonts w:eastAsia="宋体..閰繷." w:cs="Times New Roman" w:hint="eastAsia"/>
          <w:szCs w:val="18"/>
        </w:rPr>
        <w:t>公司</w:t>
      </w:r>
      <w:r w:rsidR="00B9417A" w:rsidRPr="00D4203B">
        <w:rPr>
          <w:rFonts w:eastAsia="宋体..閰繷." w:cs="Times New Roman" w:hint="eastAsia"/>
          <w:szCs w:val="18"/>
        </w:rPr>
        <w:t>的</w:t>
      </w:r>
      <w:r w:rsidR="00EA36F9" w:rsidRPr="00D4203B">
        <w:rPr>
          <w:rFonts w:eastAsia="宋体..閰繷." w:cs="Times New Roman" w:hint="eastAsia"/>
          <w:szCs w:val="18"/>
        </w:rPr>
        <w:t>CHBN</w:t>
      </w:r>
      <w:r w:rsidR="00EA36F9" w:rsidRPr="00D4203B">
        <w:rPr>
          <w:rFonts w:eastAsia="宋体..閰繷." w:cs="Times New Roman" w:hint="eastAsia"/>
          <w:szCs w:val="18"/>
        </w:rPr>
        <w:t>客户规模、收入规模全面增长，</w:t>
      </w:r>
      <w:r w:rsidR="00EA36F9" w:rsidRPr="00D4203B">
        <w:rPr>
          <w:rFonts w:eastAsia="宋体..閰繷." w:cs="Times New Roman" w:hint="eastAsia"/>
          <w:szCs w:val="18"/>
        </w:rPr>
        <w:t>H</w:t>
      </w:r>
      <w:r w:rsidR="00EA36F9" w:rsidRPr="00D4203B">
        <w:rPr>
          <w:rFonts w:eastAsia="宋体..閰繷." w:cs="Times New Roman"/>
          <w:szCs w:val="18"/>
        </w:rPr>
        <w:t>BN</w:t>
      </w:r>
      <w:r w:rsidR="00EA36F9" w:rsidRPr="00D4203B">
        <w:rPr>
          <w:rFonts w:eastAsia="宋体..閰繷." w:cs="Times New Roman" w:hint="eastAsia"/>
          <w:szCs w:val="18"/>
        </w:rPr>
        <w:t>收入占到通信服务收入比重达</w:t>
      </w:r>
      <w:r w:rsidR="00EA36F9" w:rsidRPr="00D4203B">
        <w:rPr>
          <w:rFonts w:eastAsia="宋体..閰繷." w:cs="Times New Roman" w:hint="eastAsia"/>
          <w:szCs w:val="18"/>
        </w:rPr>
        <w:t>3</w:t>
      </w:r>
      <w:r w:rsidR="00EA36F9" w:rsidRPr="00D4203B">
        <w:rPr>
          <w:rFonts w:eastAsia="宋体..閰繷." w:cs="Times New Roman"/>
          <w:szCs w:val="18"/>
        </w:rPr>
        <w:t>9.8%</w:t>
      </w:r>
      <w:r w:rsidR="00EA36F9" w:rsidRPr="00D4203B">
        <w:rPr>
          <w:rFonts w:eastAsia="宋体..閰繷." w:cs="Times New Roman" w:hint="eastAsia"/>
          <w:szCs w:val="18"/>
        </w:rPr>
        <w:t>，同比提升</w:t>
      </w:r>
      <w:r w:rsidR="00EA36F9" w:rsidRPr="00D4203B">
        <w:rPr>
          <w:rFonts w:eastAsia="宋体..閰繷." w:cs="Times New Roman" w:hint="eastAsia"/>
          <w:szCs w:val="18"/>
        </w:rPr>
        <w:t>4</w:t>
      </w:r>
      <w:r w:rsidR="00EA36F9" w:rsidRPr="00D4203B">
        <w:rPr>
          <w:rFonts w:eastAsia="宋体..閰繷." w:cs="Times New Roman"/>
          <w:szCs w:val="18"/>
        </w:rPr>
        <w:t>.1PCT</w:t>
      </w:r>
      <w:r w:rsidR="00EA36F9" w:rsidRPr="00D4203B">
        <w:rPr>
          <w:rFonts w:eastAsia="宋体..閰繷." w:cs="Times New Roman" w:hint="eastAsia"/>
          <w:szCs w:val="18"/>
        </w:rPr>
        <w:t>。</w:t>
      </w:r>
      <w:r w:rsidR="00DA43DA" w:rsidRPr="00D4203B">
        <w:rPr>
          <w:rFonts w:eastAsia="宋体..閰繷." w:cs="Times New Roman" w:hint="eastAsia"/>
          <w:szCs w:val="18"/>
        </w:rPr>
        <w:t>得益于</w:t>
      </w:r>
      <w:r w:rsidR="00DA43DA" w:rsidRPr="00D4203B">
        <w:rPr>
          <w:rFonts w:eastAsia="宋体..閰繷." w:cs="Times New Roman" w:hint="eastAsia"/>
          <w:szCs w:val="18"/>
        </w:rPr>
        <w:t>5</w:t>
      </w:r>
      <w:r w:rsidR="00DA43DA" w:rsidRPr="00D4203B">
        <w:rPr>
          <w:rFonts w:eastAsia="宋体..閰繷." w:cs="Times New Roman"/>
          <w:szCs w:val="18"/>
        </w:rPr>
        <w:t>G</w:t>
      </w:r>
      <w:r w:rsidR="00DA43DA" w:rsidRPr="00D4203B">
        <w:rPr>
          <w:rFonts w:eastAsia="宋体..閰繷." w:cs="Times New Roman" w:hint="eastAsia"/>
          <w:szCs w:val="18"/>
        </w:rPr>
        <w:t>应用、移动云、数字内容、智慧家庭等业务的快速拓展，数字化转型收入达到</w:t>
      </w:r>
      <w:r w:rsidR="00DA43DA" w:rsidRPr="00D4203B">
        <w:rPr>
          <w:rFonts w:eastAsia="宋体..閰繷." w:cs="Times New Roman" w:hint="eastAsia"/>
          <w:szCs w:val="18"/>
        </w:rPr>
        <w:t>2,</w:t>
      </w:r>
      <w:r w:rsidR="00DA43DA" w:rsidRPr="00D4203B">
        <w:rPr>
          <w:rFonts w:eastAsia="宋体..閰繷." w:cs="Times New Roman"/>
          <w:szCs w:val="18"/>
        </w:rPr>
        <w:t>076</w:t>
      </w:r>
      <w:r w:rsidR="00DA43DA" w:rsidRPr="00D4203B">
        <w:rPr>
          <w:rFonts w:eastAsia="宋体..閰繷." w:cs="Times New Roman" w:hint="eastAsia"/>
          <w:szCs w:val="18"/>
        </w:rPr>
        <w:t>亿元，同比增长</w:t>
      </w:r>
      <w:r w:rsidR="00DA43DA" w:rsidRPr="00D4203B">
        <w:rPr>
          <w:rFonts w:eastAsia="宋体..閰繷." w:cs="Times New Roman" w:hint="eastAsia"/>
          <w:szCs w:val="18"/>
        </w:rPr>
        <w:t>3</w:t>
      </w:r>
      <w:r w:rsidR="00DA43DA" w:rsidRPr="00D4203B">
        <w:rPr>
          <w:rFonts w:eastAsia="宋体..閰繷." w:cs="Times New Roman"/>
          <w:szCs w:val="18"/>
        </w:rPr>
        <w:t>0.3%</w:t>
      </w:r>
      <w:r w:rsidR="00DA43DA" w:rsidRPr="00D4203B">
        <w:rPr>
          <w:rFonts w:eastAsia="宋体..閰繷." w:cs="Times New Roman" w:hint="eastAsia"/>
          <w:szCs w:val="18"/>
        </w:rPr>
        <w:t>。整体来看，公司的数字化转型卓有成效，收入结构更加均衡稳健。</w:t>
      </w:r>
      <w:r w:rsidR="00EA36F9" w:rsidRPr="00D4203B">
        <w:rPr>
          <w:rFonts w:eastAsia="宋体..閰繷." w:cs="Times New Roman" w:hint="eastAsia"/>
          <w:szCs w:val="18"/>
        </w:rPr>
        <w:t>利润方面，全年实现股东应占净利润达</w:t>
      </w:r>
      <w:r w:rsidR="00EA36F9" w:rsidRPr="00D4203B">
        <w:rPr>
          <w:rFonts w:eastAsia="宋体..閰繷." w:cs="Times New Roman" w:hint="eastAsia"/>
          <w:szCs w:val="18"/>
        </w:rPr>
        <w:t>1,255</w:t>
      </w:r>
      <w:r w:rsidR="00EA36F9" w:rsidRPr="00D4203B">
        <w:rPr>
          <w:rFonts w:eastAsia="宋体..閰繷." w:cs="Times New Roman" w:hint="eastAsia"/>
          <w:szCs w:val="18"/>
        </w:rPr>
        <w:t>亿元，同比增长</w:t>
      </w:r>
      <w:r w:rsidR="00EA36F9" w:rsidRPr="00D4203B">
        <w:rPr>
          <w:rFonts w:eastAsia="宋体..閰繷." w:cs="Times New Roman" w:hint="eastAsia"/>
          <w:szCs w:val="18"/>
        </w:rPr>
        <w:t>8.0%</w:t>
      </w:r>
      <w:r w:rsidR="00EA36F9" w:rsidRPr="00D4203B">
        <w:rPr>
          <w:rFonts w:eastAsia="宋体..閰繷." w:cs="Times New Roman" w:hint="eastAsia"/>
          <w:szCs w:val="18"/>
        </w:rPr>
        <w:t>，</w:t>
      </w:r>
      <w:r w:rsidR="00EA36F9" w:rsidRPr="00D4203B">
        <w:rPr>
          <w:rFonts w:eastAsia="宋体..閰繷." w:cs="Times New Roman" w:hint="eastAsia"/>
          <w:szCs w:val="18"/>
        </w:rPr>
        <w:t>EBITDA</w:t>
      </w:r>
      <w:r w:rsidR="00EA36F9" w:rsidRPr="00D4203B">
        <w:rPr>
          <w:rFonts w:eastAsia="宋体..閰繷." w:cs="Times New Roman" w:hint="eastAsia"/>
          <w:szCs w:val="18"/>
        </w:rPr>
        <w:t>为</w:t>
      </w:r>
      <w:r w:rsidR="00EA36F9" w:rsidRPr="00D4203B">
        <w:rPr>
          <w:rFonts w:eastAsia="宋体..閰繷." w:cs="Times New Roman" w:hint="eastAsia"/>
          <w:szCs w:val="18"/>
        </w:rPr>
        <w:t>3,292</w:t>
      </w:r>
      <w:r w:rsidR="00EA36F9" w:rsidRPr="00D4203B">
        <w:rPr>
          <w:rFonts w:eastAsia="宋体..閰繷." w:cs="Times New Roman" w:hint="eastAsia"/>
          <w:szCs w:val="18"/>
        </w:rPr>
        <w:t>亿元，同比增长</w:t>
      </w:r>
      <w:r w:rsidR="00EA36F9" w:rsidRPr="00D4203B">
        <w:rPr>
          <w:rFonts w:eastAsia="宋体..閰繷." w:cs="Times New Roman" w:hint="eastAsia"/>
          <w:szCs w:val="18"/>
        </w:rPr>
        <w:t>5.8%</w:t>
      </w:r>
      <w:r w:rsidR="00EA36F9" w:rsidRPr="00D4203B">
        <w:rPr>
          <w:rFonts w:eastAsia="宋体..閰繷." w:cs="Times New Roman" w:hint="eastAsia"/>
          <w:szCs w:val="18"/>
        </w:rPr>
        <w:t>，增速相比前三季度提升明显。</w:t>
      </w:r>
      <w:r w:rsidR="00E30575" w:rsidRPr="00D4203B">
        <w:rPr>
          <w:rFonts w:eastAsia="宋体..閰繷." w:cs="Times New Roman" w:hint="eastAsia"/>
          <w:szCs w:val="18"/>
        </w:rPr>
        <w:t>E</w:t>
      </w:r>
      <w:r w:rsidR="00E30575" w:rsidRPr="00D4203B">
        <w:rPr>
          <w:rFonts w:eastAsia="宋体..閰繷." w:cs="Times New Roman"/>
          <w:szCs w:val="18"/>
        </w:rPr>
        <w:t>BITDA</w:t>
      </w:r>
      <w:r w:rsidR="00E30575" w:rsidRPr="00D4203B">
        <w:rPr>
          <w:rFonts w:eastAsia="宋体..閰繷." w:cs="Times New Roman" w:hint="eastAsia"/>
          <w:szCs w:val="18"/>
        </w:rPr>
        <w:t>率为</w:t>
      </w:r>
      <w:r w:rsidR="00E30575" w:rsidRPr="00D4203B">
        <w:rPr>
          <w:rFonts w:eastAsia="宋体..閰繷." w:cs="Times New Roman" w:hint="eastAsia"/>
          <w:szCs w:val="18"/>
        </w:rPr>
        <w:t>3</w:t>
      </w:r>
      <w:r w:rsidR="00E30575" w:rsidRPr="00D4203B">
        <w:rPr>
          <w:rFonts w:eastAsia="宋体..閰繷." w:cs="Times New Roman"/>
          <w:szCs w:val="18"/>
        </w:rPr>
        <w:t>5.1%</w:t>
      </w:r>
      <w:r w:rsidR="00E30575" w:rsidRPr="00D4203B">
        <w:rPr>
          <w:rFonts w:eastAsia="宋体..閰繷." w:cs="Times New Roman" w:hint="eastAsia"/>
          <w:szCs w:val="18"/>
        </w:rPr>
        <w:t>，</w:t>
      </w:r>
      <w:r w:rsidR="00E30575" w:rsidRPr="00D4203B">
        <w:rPr>
          <w:rFonts w:eastAsia="宋体..閰繷." w:cs="Times New Roman" w:hint="eastAsia"/>
          <w:szCs w:val="18"/>
        </w:rPr>
        <w:t>E</w:t>
      </w:r>
      <w:r w:rsidR="00E30575" w:rsidRPr="00D4203B">
        <w:rPr>
          <w:rFonts w:eastAsia="宋体..閰繷." w:cs="Times New Roman"/>
          <w:szCs w:val="18"/>
        </w:rPr>
        <w:t>BITDA</w:t>
      </w:r>
      <w:r w:rsidR="00E30575" w:rsidRPr="00D4203B">
        <w:rPr>
          <w:rFonts w:eastAsia="宋体..閰繷." w:cs="Times New Roman" w:hint="eastAsia"/>
          <w:szCs w:val="18"/>
        </w:rPr>
        <w:t>占通信服务收入比为</w:t>
      </w:r>
      <w:r w:rsidR="00E30575" w:rsidRPr="00D4203B">
        <w:rPr>
          <w:rFonts w:eastAsia="宋体..閰繷." w:cs="Times New Roman" w:hint="eastAsia"/>
          <w:szCs w:val="18"/>
        </w:rPr>
        <w:t>4</w:t>
      </w:r>
      <w:r w:rsidR="00E30575" w:rsidRPr="00D4203B">
        <w:rPr>
          <w:rFonts w:eastAsia="宋体..閰繷." w:cs="Times New Roman"/>
          <w:szCs w:val="18"/>
        </w:rPr>
        <w:t>0.5%</w:t>
      </w:r>
      <w:r w:rsidR="00E30575" w:rsidRPr="00D4203B">
        <w:rPr>
          <w:rFonts w:eastAsia="宋体..閰繷." w:cs="Times New Roman" w:hint="eastAsia"/>
          <w:szCs w:val="18"/>
        </w:rPr>
        <w:t>。</w:t>
      </w:r>
      <w:r w:rsidR="00E30575" w:rsidRPr="00D4203B">
        <w:rPr>
          <w:rFonts w:eastAsia="宋体..閰繷." w:cs="Times New Roman" w:hint="eastAsia"/>
          <w:szCs w:val="18"/>
        </w:rPr>
        <w:t>R</w:t>
      </w:r>
      <w:r w:rsidR="00E30575" w:rsidRPr="00D4203B">
        <w:rPr>
          <w:rFonts w:eastAsia="宋体..閰繷." w:cs="Times New Roman"/>
          <w:szCs w:val="18"/>
        </w:rPr>
        <w:t>OE</w:t>
      </w:r>
      <w:r w:rsidR="00E30575" w:rsidRPr="00D4203B">
        <w:rPr>
          <w:rFonts w:eastAsia="宋体..閰繷." w:cs="Times New Roman" w:hint="eastAsia"/>
          <w:szCs w:val="18"/>
        </w:rPr>
        <w:t>为</w:t>
      </w:r>
      <w:r w:rsidR="00E30575" w:rsidRPr="00D4203B">
        <w:rPr>
          <w:rFonts w:eastAsia="宋体..閰繷." w:cs="Times New Roman" w:hint="eastAsia"/>
          <w:szCs w:val="18"/>
        </w:rPr>
        <w:t>1</w:t>
      </w:r>
      <w:r w:rsidR="00E30575" w:rsidRPr="00D4203B">
        <w:rPr>
          <w:rFonts w:eastAsia="宋体..閰繷." w:cs="Times New Roman"/>
          <w:szCs w:val="18"/>
        </w:rPr>
        <w:t>0.0%</w:t>
      </w:r>
      <w:r w:rsidR="00E30575" w:rsidRPr="00D4203B">
        <w:rPr>
          <w:rFonts w:eastAsia="宋体..閰繷." w:cs="Times New Roman" w:hint="eastAsia"/>
          <w:szCs w:val="18"/>
        </w:rPr>
        <w:t>，同比提升</w:t>
      </w:r>
      <w:r w:rsidR="00E30575" w:rsidRPr="00D4203B">
        <w:rPr>
          <w:rFonts w:eastAsia="宋体..閰繷." w:cs="Times New Roman" w:hint="eastAsia"/>
          <w:szCs w:val="18"/>
        </w:rPr>
        <w:t>0</w:t>
      </w:r>
      <w:r w:rsidR="00E30575" w:rsidRPr="00D4203B">
        <w:rPr>
          <w:rFonts w:eastAsia="宋体..閰繷." w:cs="Times New Roman"/>
          <w:szCs w:val="18"/>
        </w:rPr>
        <w:t>.2PCT</w:t>
      </w:r>
      <w:r w:rsidR="00E30575" w:rsidRPr="00D4203B">
        <w:rPr>
          <w:rFonts w:eastAsia="宋体..閰繷." w:cs="Times New Roman" w:hint="eastAsia"/>
          <w:szCs w:val="18"/>
        </w:rPr>
        <w:t>，资产回报能力持续提升。</w:t>
      </w:r>
    </w:p>
    <w:p w14:paraId="481736DC" w14:textId="35C44EA7" w:rsidR="009F14D2" w:rsidRPr="00D4203B" w:rsidRDefault="00DC436C" w:rsidP="00D4203B">
      <w:pPr>
        <w:spacing w:beforeLines="50" w:before="120" w:afterLines="50" w:after="120" w:line="276" w:lineRule="auto"/>
        <w:jc w:val="both"/>
        <w:rPr>
          <w:rFonts w:eastAsia="宋体..閰繷." w:cs="Times New Roman"/>
          <w:szCs w:val="18"/>
        </w:rPr>
      </w:pPr>
      <w:r w:rsidRPr="00D4203B">
        <w:rPr>
          <w:rFonts w:eastAsia="宋体..閰繷." w:cs="Times New Roman" w:hint="eastAsia"/>
          <w:szCs w:val="18"/>
        </w:rPr>
        <w:t>董事会建议</w:t>
      </w:r>
      <w:r w:rsidRPr="00D4203B">
        <w:rPr>
          <w:rFonts w:eastAsia="宋体..閰繷." w:cs="Times New Roman" w:hint="eastAsia"/>
          <w:szCs w:val="18"/>
        </w:rPr>
        <w:t>2022</w:t>
      </w:r>
      <w:r w:rsidRPr="00D4203B">
        <w:rPr>
          <w:rFonts w:eastAsia="宋体..閰繷." w:cs="Times New Roman" w:hint="eastAsia"/>
          <w:szCs w:val="18"/>
        </w:rPr>
        <w:t>年全年派息率为</w:t>
      </w:r>
      <w:r w:rsidRPr="00D4203B">
        <w:rPr>
          <w:rFonts w:eastAsia="宋体..閰繷." w:cs="Times New Roman" w:hint="eastAsia"/>
          <w:szCs w:val="18"/>
        </w:rPr>
        <w:t>67%</w:t>
      </w:r>
      <w:r w:rsidRPr="00D4203B">
        <w:rPr>
          <w:rFonts w:eastAsia="宋体..閰繷." w:cs="Times New Roman" w:hint="eastAsia"/>
          <w:szCs w:val="18"/>
        </w:rPr>
        <w:t>，向全体股东派发</w:t>
      </w:r>
      <w:r w:rsidRPr="00D4203B">
        <w:rPr>
          <w:rFonts w:eastAsia="宋体..閰繷." w:cs="Times New Roman" w:hint="eastAsia"/>
          <w:szCs w:val="18"/>
        </w:rPr>
        <w:t>2022</w:t>
      </w:r>
      <w:r w:rsidRPr="00D4203B">
        <w:rPr>
          <w:rFonts w:eastAsia="宋体..閰繷." w:cs="Times New Roman" w:hint="eastAsia"/>
          <w:szCs w:val="18"/>
        </w:rPr>
        <w:t>年末期股息每股</w:t>
      </w:r>
      <w:r w:rsidRPr="00D4203B">
        <w:rPr>
          <w:rFonts w:eastAsia="宋体..閰繷." w:cs="Times New Roman" w:hint="eastAsia"/>
          <w:szCs w:val="18"/>
        </w:rPr>
        <w:t>2.21</w:t>
      </w:r>
      <w:r w:rsidRPr="00D4203B">
        <w:rPr>
          <w:rFonts w:eastAsia="宋体..閰繷." w:cs="Times New Roman" w:hint="eastAsia"/>
          <w:szCs w:val="18"/>
        </w:rPr>
        <w:t>港元，连同中期派息全年股息合计每股</w:t>
      </w:r>
      <w:r w:rsidRPr="00D4203B">
        <w:rPr>
          <w:rFonts w:eastAsia="宋体..閰繷." w:cs="Times New Roman" w:hint="eastAsia"/>
          <w:szCs w:val="18"/>
        </w:rPr>
        <w:t>4.41</w:t>
      </w:r>
      <w:r w:rsidRPr="00D4203B">
        <w:rPr>
          <w:rFonts w:eastAsia="宋体..閰繷." w:cs="Times New Roman" w:hint="eastAsia"/>
          <w:szCs w:val="18"/>
        </w:rPr>
        <w:t>港元，同比增长</w:t>
      </w:r>
      <w:r w:rsidRPr="00D4203B">
        <w:rPr>
          <w:rFonts w:eastAsia="宋体..閰繷." w:cs="Times New Roman" w:hint="eastAsia"/>
          <w:szCs w:val="18"/>
        </w:rPr>
        <w:t>8.6%</w:t>
      </w:r>
      <w:r w:rsidRPr="00D4203B">
        <w:rPr>
          <w:rFonts w:eastAsia="宋体..閰繷." w:cs="Times New Roman" w:hint="eastAsia"/>
          <w:szCs w:val="18"/>
        </w:rPr>
        <w:t>。为了更好地回馈股东，公司宣布</w:t>
      </w:r>
      <w:r w:rsidRPr="00D4203B">
        <w:rPr>
          <w:rFonts w:eastAsia="宋体..閰繷." w:cs="Times New Roman" w:hint="eastAsia"/>
          <w:szCs w:val="18"/>
        </w:rPr>
        <w:t>2023</w:t>
      </w:r>
      <w:r w:rsidRPr="00D4203B">
        <w:rPr>
          <w:rFonts w:eastAsia="宋体..閰繷." w:cs="Times New Roman" w:hint="eastAsia"/>
          <w:szCs w:val="18"/>
        </w:rPr>
        <w:t>年以现金方式分配的利润将提升至股东应占净利润的</w:t>
      </w:r>
      <w:r w:rsidRPr="00D4203B">
        <w:rPr>
          <w:rFonts w:eastAsia="宋体..閰繷." w:cs="Times New Roman" w:hint="eastAsia"/>
          <w:szCs w:val="18"/>
        </w:rPr>
        <w:t>70%</w:t>
      </w:r>
      <w:r w:rsidRPr="00D4203B">
        <w:rPr>
          <w:rFonts w:eastAsia="宋体..閰繷." w:cs="Times New Roman" w:hint="eastAsia"/>
          <w:szCs w:val="18"/>
        </w:rPr>
        <w:t>以上。</w:t>
      </w:r>
    </w:p>
    <w:tbl>
      <w:tblPr>
        <w:tblW w:w="10463" w:type="dxa"/>
        <w:tblInd w:w="-2116" w:type="dxa"/>
        <w:tblLayout w:type="fixed"/>
        <w:tblLook w:val="04A0" w:firstRow="1" w:lastRow="0" w:firstColumn="1" w:lastColumn="0" w:noHBand="0" w:noVBand="1"/>
      </w:tblPr>
      <w:tblGrid>
        <w:gridCol w:w="5131"/>
        <w:gridCol w:w="242"/>
        <w:gridCol w:w="5090"/>
      </w:tblGrid>
      <w:tr w:rsidR="00E30575" w:rsidRPr="00490D55" w14:paraId="7A06409D" w14:textId="77777777" w:rsidTr="00383BEA">
        <w:trPr>
          <w:trHeight w:val="279"/>
        </w:trPr>
        <w:tc>
          <w:tcPr>
            <w:tcW w:w="5131" w:type="dxa"/>
            <w:tcBorders>
              <w:top w:val="nil"/>
              <w:left w:val="nil"/>
              <w:bottom w:val="single" w:sz="4" w:space="0" w:color="auto"/>
              <w:right w:val="nil"/>
            </w:tcBorders>
            <w:vAlign w:val="center"/>
            <w:hideMark/>
          </w:tcPr>
          <w:p w14:paraId="3199DB48" w14:textId="1BD39118" w:rsidR="00E30575" w:rsidRPr="00F02B40" w:rsidRDefault="005762FC" w:rsidP="007A0EFA">
            <w:pPr>
              <w:pStyle w:val="a3"/>
              <w:spacing w:line="276" w:lineRule="auto"/>
              <w:ind w:leftChars="-54" w:left="-97"/>
              <w:rPr>
                <w:rFonts w:asciiTheme="majorEastAsia" w:eastAsiaTheme="majorEastAsia" w:hAnsiTheme="majorEastAsia"/>
                <w:sz w:val="18"/>
                <w:szCs w:val="18"/>
                <w:lang w:eastAsia="zh-CN"/>
              </w:rPr>
            </w:pPr>
            <w:bookmarkStart w:id="4" w:name="_Toc518314363"/>
            <w:bookmarkStart w:id="5" w:name="_Toc528757856"/>
            <w:bookmarkStart w:id="6" w:name="_Toc85457668"/>
            <w:bookmarkStart w:id="7" w:name="_Toc85468184"/>
            <w:bookmarkStart w:id="8" w:name="_Toc85477254"/>
            <w:r w:rsidRPr="00F02B40">
              <w:rPr>
                <w:rFonts w:asciiTheme="majorEastAsia" w:eastAsiaTheme="majorEastAsia" w:hAnsiTheme="majorEastAsia" w:hint="eastAsia"/>
                <w:color w:val="auto"/>
                <w:sz w:val="18"/>
                <w:szCs w:val="18"/>
                <w:lang w:eastAsia="zh-CN"/>
              </w:rPr>
              <w:t xml:space="preserve">图表 </w:t>
            </w:r>
            <w:r w:rsidRPr="00F02B40">
              <w:rPr>
                <w:rFonts w:asciiTheme="majorEastAsia" w:eastAsiaTheme="majorEastAsia" w:hAnsiTheme="majorEastAsia"/>
                <w:color w:val="auto"/>
                <w:sz w:val="18"/>
                <w:szCs w:val="18"/>
                <w:lang w:eastAsia="zh-CN"/>
              </w:rPr>
              <w:fldChar w:fldCharType="begin"/>
            </w:r>
            <w:r w:rsidRPr="00F02B40">
              <w:rPr>
                <w:rFonts w:asciiTheme="majorEastAsia" w:eastAsiaTheme="majorEastAsia" w:hAnsiTheme="majorEastAsia"/>
                <w:color w:val="auto"/>
                <w:sz w:val="18"/>
                <w:szCs w:val="18"/>
                <w:lang w:eastAsia="zh-CN"/>
              </w:rPr>
              <w:instrText xml:space="preserve"> </w:instrText>
            </w:r>
            <w:r w:rsidRPr="00F02B40">
              <w:rPr>
                <w:rFonts w:asciiTheme="majorEastAsia" w:eastAsiaTheme="majorEastAsia" w:hAnsiTheme="majorEastAsia" w:hint="eastAsia"/>
                <w:color w:val="auto"/>
                <w:sz w:val="18"/>
                <w:szCs w:val="18"/>
                <w:lang w:eastAsia="zh-CN"/>
              </w:rPr>
              <w:instrText>SEQ 图表 \* ARABIC</w:instrText>
            </w:r>
            <w:r w:rsidRPr="00F02B40">
              <w:rPr>
                <w:rFonts w:asciiTheme="majorEastAsia" w:eastAsiaTheme="majorEastAsia" w:hAnsiTheme="majorEastAsia"/>
                <w:color w:val="auto"/>
                <w:sz w:val="18"/>
                <w:szCs w:val="18"/>
                <w:lang w:eastAsia="zh-CN"/>
              </w:rPr>
              <w:instrText xml:space="preserve"> </w:instrText>
            </w:r>
            <w:r w:rsidRPr="00F02B40">
              <w:rPr>
                <w:rFonts w:asciiTheme="majorEastAsia" w:eastAsiaTheme="majorEastAsia" w:hAnsiTheme="majorEastAsia"/>
                <w:color w:val="auto"/>
                <w:sz w:val="18"/>
                <w:szCs w:val="18"/>
                <w:lang w:eastAsia="zh-CN"/>
              </w:rPr>
              <w:fldChar w:fldCharType="separate"/>
            </w:r>
            <w:r w:rsidRPr="00F02B40">
              <w:rPr>
                <w:rFonts w:asciiTheme="majorEastAsia" w:eastAsiaTheme="majorEastAsia" w:hAnsiTheme="majorEastAsia"/>
                <w:color w:val="auto"/>
                <w:sz w:val="18"/>
                <w:szCs w:val="18"/>
                <w:lang w:eastAsia="zh-CN"/>
              </w:rPr>
              <w:t>1</w:t>
            </w:r>
            <w:r w:rsidRPr="00F02B40">
              <w:rPr>
                <w:rFonts w:asciiTheme="majorEastAsia" w:eastAsiaTheme="majorEastAsia" w:hAnsiTheme="majorEastAsia"/>
                <w:color w:val="auto"/>
                <w:sz w:val="18"/>
                <w:szCs w:val="18"/>
                <w:lang w:eastAsia="zh-CN"/>
              </w:rPr>
              <w:fldChar w:fldCharType="end"/>
            </w:r>
            <w:r w:rsidR="00E30575" w:rsidRPr="00F02B40">
              <w:rPr>
                <w:rFonts w:asciiTheme="majorEastAsia" w:eastAsiaTheme="majorEastAsia" w:hAnsiTheme="majorEastAsia" w:hint="eastAsia"/>
                <w:color w:val="auto"/>
                <w:sz w:val="18"/>
                <w:szCs w:val="18"/>
                <w:lang w:eastAsia="zh-CN"/>
              </w:rPr>
              <w:t>：</w:t>
            </w:r>
            <w:bookmarkEnd w:id="4"/>
            <w:bookmarkEnd w:id="5"/>
            <w:bookmarkEnd w:id="6"/>
            <w:r w:rsidR="00E30575" w:rsidRPr="00F02B40">
              <w:rPr>
                <w:rFonts w:asciiTheme="majorEastAsia" w:eastAsiaTheme="majorEastAsia" w:hAnsiTheme="majorEastAsia" w:hint="eastAsia"/>
                <w:color w:val="auto"/>
                <w:sz w:val="18"/>
                <w:szCs w:val="18"/>
                <w:lang w:eastAsia="zh-CN"/>
              </w:rPr>
              <w:t>中国移动的营业收入及增速（单位：百万元）</w:t>
            </w:r>
            <w:bookmarkEnd w:id="7"/>
            <w:bookmarkEnd w:id="8"/>
          </w:p>
        </w:tc>
        <w:tc>
          <w:tcPr>
            <w:tcW w:w="242" w:type="dxa"/>
            <w:vAlign w:val="center"/>
          </w:tcPr>
          <w:p w14:paraId="767E3996" w14:textId="77777777" w:rsidR="00E30575" w:rsidRPr="00490D55" w:rsidRDefault="00E30575" w:rsidP="007A0EFA">
            <w:pPr>
              <w:pStyle w:val="a"/>
              <w:spacing w:after="0" w:line="276" w:lineRule="auto"/>
              <w:ind w:leftChars="0" w:left="0"/>
              <w:rPr>
                <w:b/>
                <w:color w:val="0F243E"/>
                <w:lang w:eastAsia="zh-CN"/>
              </w:rPr>
            </w:pPr>
          </w:p>
        </w:tc>
        <w:tc>
          <w:tcPr>
            <w:tcW w:w="5090" w:type="dxa"/>
            <w:tcBorders>
              <w:top w:val="nil"/>
              <w:left w:val="nil"/>
              <w:bottom w:val="single" w:sz="4" w:space="0" w:color="auto"/>
              <w:right w:val="nil"/>
            </w:tcBorders>
            <w:vAlign w:val="center"/>
            <w:hideMark/>
          </w:tcPr>
          <w:p w14:paraId="637426ED" w14:textId="00180AE5" w:rsidR="00E30575" w:rsidRPr="006942B3" w:rsidRDefault="005762FC" w:rsidP="00F02B40">
            <w:pPr>
              <w:pStyle w:val="a3"/>
              <w:spacing w:line="276" w:lineRule="auto"/>
              <w:ind w:leftChars="-54" w:left="-97"/>
              <w:rPr>
                <w:sz w:val="18"/>
                <w:szCs w:val="18"/>
                <w:lang w:eastAsia="zh-CN"/>
              </w:rPr>
            </w:pPr>
            <w:bookmarkStart w:id="9" w:name="_Toc518314364"/>
            <w:bookmarkStart w:id="10" w:name="_Toc528757857"/>
            <w:bookmarkStart w:id="11" w:name="_Toc85457669"/>
            <w:bookmarkStart w:id="12" w:name="_Toc85468185"/>
            <w:bookmarkStart w:id="13" w:name="_Toc85477255"/>
            <w:r w:rsidRPr="00F02B40">
              <w:rPr>
                <w:rFonts w:asciiTheme="majorEastAsia" w:eastAsiaTheme="majorEastAsia" w:hAnsiTheme="majorEastAsia" w:hint="eastAsia"/>
                <w:color w:val="auto"/>
                <w:sz w:val="18"/>
                <w:szCs w:val="18"/>
                <w:lang w:eastAsia="zh-CN"/>
              </w:rPr>
              <w:t xml:space="preserve">图表 </w:t>
            </w:r>
            <w:r w:rsidRPr="00F02B40">
              <w:rPr>
                <w:rFonts w:asciiTheme="majorEastAsia" w:eastAsiaTheme="majorEastAsia" w:hAnsiTheme="majorEastAsia"/>
                <w:color w:val="auto"/>
                <w:sz w:val="18"/>
                <w:szCs w:val="18"/>
                <w:lang w:eastAsia="zh-CN"/>
              </w:rPr>
              <w:fldChar w:fldCharType="begin"/>
            </w:r>
            <w:r w:rsidRPr="00F02B40">
              <w:rPr>
                <w:rFonts w:asciiTheme="majorEastAsia" w:eastAsiaTheme="majorEastAsia" w:hAnsiTheme="majorEastAsia"/>
                <w:color w:val="auto"/>
                <w:sz w:val="18"/>
                <w:szCs w:val="18"/>
                <w:lang w:eastAsia="zh-CN"/>
              </w:rPr>
              <w:instrText xml:space="preserve"> </w:instrText>
            </w:r>
            <w:r w:rsidRPr="00F02B40">
              <w:rPr>
                <w:rFonts w:asciiTheme="majorEastAsia" w:eastAsiaTheme="majorEastAsia" w:hAnsiTheme="majorEastAsia" w:hint="eastAsia"/>
                <w:color w:val="auto"/>
                <w:sz w:val="18"/>
                <w:szCs w:val="18"/>
                <w:lang w:eastAsia="zh-CN"/>
              </w:rPr>
              <w:instrText>SEQ 图表 \* ARABIC</w:instrText>
            </w:r>
            <w:r w:rsidRPr="00F02B40">
              <w:rPr>
                <w:rFonts w:asciiTheme="majorEastAsia" w:eastAsiaTheme="majorEastAsia" w:hAnsiTheme="majorEastAsia"/>
                <w:color w:val="auto"/>
                <w:sz w:val="18"/>
                <w:szCs w:val="18"/>
                <w:lang w:eastAsia="zh-CN"/>
              </w:rPr>
              <w:instrText xml:space="preserve"> </w:instrText>
            </w:r>
            <w:r w:rsidRPr="00F02B40">
              <w:rPr>
                <w:rFonts w:asciiTheme="majorEastAsia" w:eastAsiaTheme="majorEastAsia" w:hAnsiTheme="majorEastAsia"/>
                <w:color w:val="auto"/>
                <w:sz w:val="18"/>
                <w:szCs w:val="18"/>
                <w:lang w:eastAsia="zh-CN"/>
              </w:rPr>
              <w:fldChar w:fldCharType="separate"/>
            </w:r>
            <w:r w:rsidRPr="00F02B40">
              <w:rPr>
                <w:rFonts w:asciiTheme="majorEastAsia" w:eastAsiaTheme="majorEastAsia" w:hAnsiTheme="majorEastAsia"/>
                <w:color w:val="auto"/>
                <w:sz w:val="18"/>
                <w:szCs w:val="18"/>
                <w:lang w:eastAsia="zh-CN"/>
              </w:rPr>
              <w:t>2</w:t>
            </w:r>
            <w:r w:rsidRPr="00F02B40">
              <w:rPr>
                <w:rFonts w:asciiTheme="majorEastAsia" w:eastAsiaTheme="majorEastAsia" w:hAnsiTheme="majorEastAsia"/>
                <w:color w:val="auto"/>
                <w:sz w:val="18"/>
                <w:szCs w:val="18"/>
                <w:lang w:eastAsia="zh-CN"/>
              </w:rPr>
              <w:fldChar w:fldCharType="end"/>
            </w:r>
            <w:r w:rsidR="00E30575" w:rsidRPr="00F02B40">
              <w:rPr>
                <w:rFonts w:asciiTheme="majorEastAsia" w:eastAsiaTheme="majorEastAsia" w:hAnsiTheme="majorEastAsia" w:hint="eastAsia"/>
                <w:color w:val="auto"/>
                <w:sz w:val="18"/>
                <w:szCs w:val="18"/>
                <w:lang w:eastAsia="zh-CN"/>
              </w:rPr>
              <w:t>：中国移动的归母净利润及增速</w:t>
            </w:r>
            <w:bookmarkEnd w:id="9"/>
            <w:bookmarkEnd w:id="10"/>
            <w:bookmarkEnd w:id="11"/>
            <w:bookmarkEnd w:id="12"/>
            <w:bookmarkEnd w:id="13"/>
            <w:r w:rsidR="00E30575" w:rsidRPr="00F02B40">
              <w:rPr>
                <w:rFonts w:asciiTheme="majorEastAsia" w:eastAsiaTheme="majorEastAsia" w:hAnsiTheme="majorEastAsia" w:hint="eastAsia"/>
                <w:color w:val="auto"/>
                <w:sz w:val="18"/>
                <w:szCs w:val="18"/>
                <w:lang w:eastAsia="zh-CN"/>
              </w:rPr>
              <w:t>（单位：百万元）</w:t>
            </w:r>
          </w:p>
        </w:tc>
      </w:tr>
      <w:tr w:rsidR="00E30575" w:rsidRPr="009B1FB9" w14:paraId="3300C343" w14:textId="77777777" w:rsidTr="00383BEA">
        <w:trPr>
          <w:trHeight w:hRule="exact" w:val="3657"/>
        </w:trPr>
        <w:tc>
          <w:tcPr>
            <w:tcW w:w="5131" w:type="dxa"/>
            <w:tcBorders>
              <w:top w:val="single" w:sz="4" w:space="0" w:color="auto"/>
              <w:left w:val="nil"/>
              <w:bottom w:val="single" w:sz="4" w:space="0" w:color="auto"/>
              <w:right w:val="nil"/>
            </w:tcBorders>
            <w:vAlign w:val="center"/>
          </w:tcPr>
          <w:p w14:paraId="5CE9C42A" w14:textId="77777777" w:rsidR="00E30575" w:rsidRPr="009B1FB9" w:rsidRDefault="00E30575" w:rsidP="007A0EFA">
            <w:pPr>
              <w:pStyle w:val="a"/>
              <w:spacing w:after="0" w:line="276" w:lineRule="auto"/>
              <w:ind w:leftChars="0" w:left="0"/>
              <w:jc w:val="center"/>
              <w:rPr>
                <w:rFonts w:cs="Arial"/>
                <w:lang w:eastAsia="zh-CN"/>
              </w:rPr>
            </w:pPr>
            <w:r>
              <w:rPr>
                <w:noProof/>
                <w:lang w:eastAsia="zh-CN"/>
              </w:rPr>
              <w:drawing>
                <wp:inline distT="0" distB="0" distL="0" distR="0" wp14:anchorId="73A5D5A9" wp14:editId="3C02B57F">
                  <wp:extent cx="3176615" cy="2193503"/>
                  <wp:effectExtent l="0" t="0" r="508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c>
          <w:tcPr>
            <w:tcW w:w="242" w:type="dxa"/>
            <w:vAlign w:val="center"/>
          </w:tcPr>
          <w:p w14:paraId="0F17664A" w14:textId="77777777" w:rsidR="00E30575" w:rsidRPr="009B1FB9" w:rsidRDefault="00E30575" w:rsidP="007A0EFA">
            <w:pPr>
              <w:pStyle w:val="a"/>
              <w:spacing w:after="0" w:line="276" w:lineRule="auto"/>
              <w:ind w:leftChars="0" w:left="0"/>
              <w:rPr>
                <w:rFonts w:cs="Arial"/>
                <w:lang w:eastAsia="zh-CN"/>
              </w:rPr>
            </w:pPr>
          </w:p>
        </w:tc>
        <w:tc>
          <w:tcPr>
            <w:tcW w:w="5090" w:type="dxa"/>
            <w:tcBorders>
              <w:top w:val="single" w:sz="4" w:space="0" w:color="auto"/>
              <w:left w:val="nil"/>
              <w:bottom w:val="single" w:sz="4" w:space="0" w:color="auto"/>
              <w:right w:val="nil"/>
            </w:tcBorders>
            <w:vAlign w:val="center"/>
          </w:tcPr>
          <w:p w14:paraId="0FBBCEFF" w14:textId="77777777" w:rsidR="00E30575" w:rsidRPr="009B1FB9" w:rsidRDefault="00E30575" w:rsidP="007A0EFA">
            <w:pPr>
              <w:pStyle w:val="a"/>
              <w:spacing w:after="0" w:line="276" w:lineRule="auto"/>
              <w:ind w:leftChars="0" w:left="0"/>
              <w:jc w:val="center"/>
              <w:rPr>
                <w:rFonts w:cs="Arial"/>
                <w:lang w:eastAsia="zh-CN"/>
              </w:rPr>
            </w:pPr>
            <w:r>
              <w:rPr>
                <w:noProof/>
                <w:lang w:eastAsia="zh-CN"/>
              </w:rPr>
              <w:drawing>
                <wp:inline distT="0" distB="0" distL="0" distR="0" wp14:anchorId="4EF9A1C7" wp14:editId="59C0248F">
                  <wp:extent cx="3144054" cy="2277745"/>
                  <wp:effectExtent l="0" t="0" r="0" b="8255"/>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E30575" w:rsidRPr="00490D55" w14:paraId="71C02705" w14:textId="77777777" w:rsidTr="00383BEA">
        <w:trPr>
          <w:trHeight w:val="279"/>
        </w:trPr>
        <w:tc>
          <w:tcPr>
            <w:tcW w:w="5131" w:type="dxa"/>
            <w:tcBorders>
              <w:top w:val="single" w:sz="4" w:space="0" w:color="auto"/>
              <w:left w:val="nil"/>
              <w:bottom w:val="nil"/>
              <w:right w:val="nil"/>
            </w:tcBorders>
            <w:vAlign w:val="center"/>
            <w:hideMark/>
          </w:tcPr>
          <w:p w14:paraId="3F4FA4C7" w14:textId="77777777" w:rsidR="00E30575" w:rsidRPr="00C66411" w:rsidRDefault="00E30575" w:rsidP="007A0EFA">
            <w:pPr>
              <w:pStyle w:val="a4"/>
              <w:spacing w:line="276" w:lineRule="auto"/>
              <w:ind w:leftChars="-54" w:left="-97"/>
            </w:pPr>
            <w:r w:rsidRPr="006269F1">
              <w:rPr>
                <w:rFonts w:asciiTheme="minorEastAsia" w:eastAsiaTheme="minorEastAsia" w:hAnsiTheme="minorEastAsia"/>
                <w:color w:val="auto"/>
                <w:sz w:val="15"/>
                <w:szCs w:val="15"/>
              </w:rPr>
              <w:t>数据来源：</w:t>
            </w:r>
            <w:r w:rsidRPr="006269F1">
              <w:rPr>
                <w:rFonts w:asciiTheme="minorEastAsia" w:eastAsiaTheme="minorEastAsia" w:hAnsiTheme="minorEastAsia" w:hint="eastAsia"/>
                <w:color w:val="auto"/>
                <w:sz w:val="15"/>
                <w:szCs w:val="15"/>
              </w:rPr>
              <w:t>公司财报，广发证券（香港）经纪财富研究</w:t>
            </w:r>
          </w:p>
        </w:tc>
        <w:tc>
          <w:tcPr>
            <w:tcW w:w="242" w:type="dxa"/>
            <w:vAlign w:val="center"/>
          </w:tcPr>
          <w:p w14:paraId="6D712C0C" w14:textId="77777777" w:rsidR="00E30575" w:rsidRPr="00490D55" w:rsidRDefault="00E30575" w:rsidP="007A0EFA">
            <w:pPr>
              <w:pStyle w:val="a"/>
              <w:spacing w:after="0" w:line="276" w:lineRule="auto"/>
              <w:ind w:leftChars="0" w:left="0"/>
              <w:rPr>
                <w:color w:val="0F243E"/>
                <w:sz w:val="18"/>
                <w:lang w:eastAsia="zh-CN"/>
              </w:rPr>
            </w:pPr>
          </w:p>
        </w:tc>
        <w:tc>
          <w:tcPr>
            <w:tcW w:w="5090" w:type="dxa"/>
            <w:tcBorders>
              <w:top w:val="single" w:sz="4" w:space="0" w:color="auto"/>
              <w:left w:val="nil"/>
              <w:bottom w:val="nil"/>
              <w:right w:val="nil"/>
            </w:tcBorders>
            <w:vAlign w:val="center"/>
            <w:hideMark/>
          </w:tcPr>
          <w:p w14:paraId="29B3CCAF" w14:textId="77777777" w:rsidR="00E30575" w:rsidRPr="00C66411" w:rsidRDefault="00E30575" w:rsidP="006269F1">
            <w:pPr>
              <w:pStyle w:val="a4"/>
              <w:spacing w:line="276" w:lineRule="auto"/>
              <w:ind w:leftChars="-54" w:left="-97"/>
            </w:pPr>
            <w:r w:rsidRPr="006269F1">
              <w:rPr>
                <w:rFonts w:asciiTheme="minorEastAsia" w:eastAsiaTheme="minorEastAsia" w:hAnsiTheme="minorEastAsia"/>
                <w:color w:val="auto"/>
                <w:sz w:val="15"/>
                <w:szCs w:val="15"/>
              </w:rPr>
              <w:t>数据来源：</w:t>
            </w:r>
            <w:r w:rsidRPr="006269F1">
              <w:rPr>
                <w:rFonts w:asciiTheme="minorEastAsia" w:eastAsiaTheme="minorEastAsia" w:hAnsiTheme="minorEastAsia" w:hint="eastAsia"/>
                <w:color w:val="auto"/>
                <w:sz w:val="15"/>
                <w:szCs w:val="15"/>
              </w:rPr>
              <w:t>公司财报，广发证券（香港）经纪财富研究</w:t>
            </w:r>
          </w:p>
        </w:tc>
      </w:tr>
    </w:tbl>
    <w:p w14:paraId="35BD8FC5" w14:textId="77777777" w:rsidR="002C6D8E" w:rsidRPr="002C6D8E" w:rsidRDefault="002C6D8E" w:rsidP="002C6D8E">
      <w:pPr>
        <w:pStyle w:val="TopCalls"/>
        <w:spacing w:line="276" w:lineRule="auto"/>
        <w:jc w:val="both"/>
        <w:rPr>
          <w:rFonts w:eastAsia="宋体..閰繷." w:cs="Times New Roman"/>
          <w:b/>
          <w:bCs/>
          <w:sz w:val="18"/>
          <w:szCs w:val="18"/>
        </w:rPr>
      </w:pPr>
    </w:p>
    <w:p w14:paraId="50EAB1D2" w14:textId="365D561E" w:rsidR="00D91382" w:rsidRPr="00595EAC" w:rsidRDefault="00D91382" w:rsidP="007A0EFA">
      <w:pPr>
        <w:spacing w:line="276" w:lineRule="auto"/>
        <w:rPr>
          <w:rFonts w:eastAsia="宋体..閰繷." w:cs="Times New Roman"/>
          <w:b/>
          <w:bCs/>
          <w:sz w:val="28"/>
          <w:szCs w:val="28"/>
        </w:rPr>
      </w:pPr>
      <w:r w:rsidRPr="00595EAC">
        <w:rPr>
          <w:rFonts w:eastAsia="宋体..閰繷." w:cs="Times New Roman" w:hint="eastAsia"/>
          <w:b/>
          <w:bCs/>
          <w:sz w:val="28"/>
          <w:szCs w:val="28"/>
        </w:rPr>
        <w:t>二、把握数字经济发展红利，四大市场业务表现优异</w:t>
      </w:r>
    </w:p>
    <w:p w14:paraId="1D3CF4BE" w14:textId="0376AA13" w:rsidR="009F14D2" w:rsidRDefault="00EA36F9" w:rsidP="009F14D2">
      <w:pPr>
        <w:spacing w:beforeLines="50" w:before="120" w:afterLines="50" w:after="120" w:line="276" w:lineRule="auto"/>
        <w:jc w:val="both"/>
        <w:rPr>
          <w:rFonts w:eastAsia="宋体..閰繷." w:cs="Times New Roman"/>
          <w:szCs w:val="18"/>
        </w:rPr>
      </w:pPr>
      <w:r w:rsidRPr="00EA36F9">
        <w:rPr>
          <w:rFonts w:eastAsia="宋体..閰繷." w:cs="Times New Roman" w:hint="eastAsia"/>
          <w:szCs w:val="18"/>
        </w:rPr>
        <w:t>2022</w:t>
      </w:r>
      <w:r w:rsidRPr="00EA36F9">
        <w:rPr>
          <w:rFonts w:eastAsia="宋体..閰繷." w:cs="Times New Roman" w:hint="eastAsia"/>
          <w:szCs w:val="18"/>
        </w:rPr>
        <w:t>年，公司把握数字经济蓬勃发展的红利，</w:t>
      </w:r>
      <w:r>
        <w:rPr>
          <w:rFonts w:eastAsia="宋体..閰繷." w:cs="Times New Roman" w:hint="eastAsia"/>
          <w:szCs w:val="18"/>
        </w:rPr>
        <w:t>系统打造以</w:t>
      </w:r>
      <w:r>
        <w:rPr>
          <w:rFonts w:eastAsia="宋体..閰繷." w:cs="Times New Roman" w:hint="eastAsia"/>
          <w:szCs w:val="18"/>
        </w:rPr>
        <w:t>5</w:t>
      </w:r>
      <w:r>
        <w:rPr>
          <w:rFonts w:eastAsia="宋体..閰繷." w:cs="Times New Roman"/>
          <w:szCs w:val="18"/>
        </w:rPr>
        <w:t>G</w:t>
      </w:r>
      <w:r>
        <w:rPr>
          <w:rFonts w:eastAsia="宋体..閰繷." w:cs="Times New Roman" w:hint="eastAsia"/>
          <w:szCs w:val="18"/>
        </w:rPr>
        <w:t>、算力网络、能力中台为重点的新型信息基础设施，创新“连接</w:t>
      </w:r>
      <w:r>
        <w:rPr>
          <w:rFonts w:eastAsia="宋体..閰繷." w:cs="Times New Roman" w:hint="eastAsia"/>
          <w:szCs w:val="18"/>
        </w:rPr>
        <w:t>+</w:t>
      </w:r>
      <w:r>
        <w:rPr>
          <w:rFonts w:eastAsia="宋体..閰繷." w:cs="Times New Roman" w:hint="eastAsia"/>
          <w:szCs w:val="18"/>
        </w:rPr>
        <w:t>算力</w:t>
      </w:r>
      <w:r>
        <w:rPr>
          <w:rFonts w:eastAsia="宋体..閰繷." w:cs="Times New Roman" w:hint="eastAsia"/>
          <w:szCs w:val="18"/>
        </w:rPr>
        <w:t>+</w:t>
      </w:r>
      <w:r>
        <w:rPr>
          <w:rFonts w:eastAsia="宋体..閰繷." w:cs="Times New Roman" w:hint="eastAsia"/>
          <w:szCs w:val="18"/>
        </w:rPr>
        <w:t>能力”的新型信息服务体系，</w:t>
      </w:r>
      <w:r w:rsidRPr="00EA36F9">
        <w:rPr>
          <w:rFonts w:eastAsia="宋体..閰繷." w:cs="Times New Roman" w:hint="eastAsia"/>
          <w:szCs w:val="18"/>
        </w:rPr>
        <w:t>四大市场业务表现优异。</w:t>
      </w:r>
    </w:p>
    <w:p w14:paraId="7A673A72" w14:textId="607B2DDD" w:rsidR="00EA36F9" w:rsidRDefault="009D6BAC" w:rsidP="009F14D2">
      <w:pPr>
        <w:spacing w:beforeLines="50" w:before="120" w:afterLines="50" w:after="120" w:line="276" w:lineRule="auto"/>
        <w:jc w:val="both"/>
        <w:rPr>
          <w:rFonts w:eastAsia="宋体..閰繷." w:cs="Times New Roman"/>
          <w:szCs w:val="18"/>
        </w:rPr>
      </w:pPr>
      <w:r>
        <w:rPr>
          <w:rFonts w:eastAsia="宋体..閰繷." w:cs="Times New Roman"/>
          <w:szCs w:val="18"/>
        </w:rPr>
        <w:t>1</w:t>
      </w:r>
      <w:r>
        <w:rPr>
          <w:rFonts w:eastAsia="宋体..閰繷." w:cs="Times New Roman" w:hint="eastAsia"/>
          <w:szCs w:val="18"/>
        </w:rPr>
        <w:t>、</w:t>
      </w:r>
      <w:r w:rsidR="00C02C4C">
        <w:rPr>
          <w:rFonts w:eastAsia="宋体..閰繷." w:cs="Times New Roman" w:hint="eastAsia"/>
          <w:szCs w:val="18"/>
        </w:rPr>
        <w:t>个人市场</w:t>
      </w:r>
      <w:r>
        <w:rPr>
          <w:rFonts w:eastAsia="宋体..閰繷." w:cs="Times New Roman" w:hint="eastAsia"/>
          <w:szCs w:val="18"/>
        </w:rPr>
        <w:t>加快</w:t>
      </w:r>
      <w:r>
        <w:rPr>
          <w:rFonts w:eastAsia="宋体..閰繷." w:cs="Times New Roman" w:hint="eastAsia"/>
          <w:szCs w:val="18"/>
        </w:rPr>
        <w:t>5</w:t>
      </w:r>
      <w:r>
        <w:rPr>
          <w:rFonts w:eastAsia="宋体..閰繷." w:cs="Times New Roman"/>
          <w:szCs w:val="18"/>
        </w:rPr>
        <w:t>G</w:t>
      </w:r>
      <w:r>
        <w:rPr>
          <w:rFonts w:eastAsia="宋体..閰繷." w:cs="Times New Roman" w:hint="eastAsia"/>
          <w:szCs w:val="18"/>
        </w:rPr>
        <w:t>迁移</w:t>
      </w:r>
      <w:r w:rsidR="00C02C4C">
        <w:rPr>
          <w:rFonts w:eastAsia="宋体..閰繷." w:cs="Times New Roman" w:hint="eastAsia"/>
          <w:szCs w:val="18"/>
        </w:rPr>
        <w:t>，</w:t>
      </w:r>
      <w:r>
        <w:rPr>
          <w:rFonts w:eastAsia="宋体..閰繷." w:cs="Times New Roman" w:hint="eastAsia"/>
          <w:szCs w:val="18"/>
        </w:rPr>
        <w:t>打造平台经济模式，业务</w:t>
      </w:r>
      <w:r w:rsidR="00C02C4C">
        <w:rPr>
          <w:rFonts w:eastAsia="宋体..閰繷." w:cs="Times New Roman" w:hint="eastAsia"/>
          <w:szCs w:val="18"/>
        </w:rPr>
        <w:t>稳中有升。</w:t>
      </w:r>
    </w:p>
    <w:p w14:paraId="42E359ED" w14:textId="548E9B24" w:rsidR="00C02C4C" w:rsidRPr="00C02C4C" w:rsidRDefault="004B6546" w:rsidP="004B6546">
      <w:pPr>
        <w:spacing w:beforeLines="50" w:before="120" w:afterLines="50" w:after="120" w:line="276" w:lineRule="auto"/>
        <w:jc w:val="both"/>
        <w:rPr>
          <w:rFonts w:eastAsia="宋体..閰繷." w:cs="Times New Roman"/>
          <w:szCs w:val="18"/>
        </w:rPr>
      </w:pPr>
      <w:r w:rsidRPr="004B6546">
        <w:rPr>
          <w:rFonts w:eastAsia="宋体..閰繷." w:cs="Times New Roman" w:hint="eastAsia"/>
          <w:szCs w:val="18"/>
        </w:rPr>
        <w:t>2022</w:t>
      </w:r>
      <w:r w:rsidRPr="004B6546">
        <w:rPr>
          <w:rFonts w:eastAsia="宋体..閰繷." w:cs="Times New Roman" w:hint="eastAsia"/>
          <w:szCs w:val="18"/>
        </w:rPr>
        <w:t>年</w:t>
      </w:r>
      <w:r w:rsidR="009E3C86">
        <w:rPr>
          <w:rFonts w:eastAsia="宋体..閰繷." w:cs="Times New Roman" w:hint="eastAsia"/>
          <w:szCs w:val="18"/>
        </w:rPr>
        <w:t>，</w:t>
      </w:r>
      <w:r>
        <w:rPr>
          <w:rFonts w:eastAsia="宋体..閰繷." w:cs="Times New Roman" w:hint="eastAsia"/>
          <w:szCs w:val="18"/>
        </w:rPr>
        <w:t>公司</w:t>
      </w:r>
      <w:r w:rsidRPr="004B6546">
        <w:rPr>
          <w:rFonts w:eastAsia="宋体..閰繷." w:cs="Times New Roman" w:hint="eastAsia"/>
          <w:szCs w:val="18"/>
        </w:rPr>
        <w:t>个人市场业务收入达到</w:t>
      </w:r>
      <w:r w:rsidRPr="004B6546">
        <w:rPr>
          <w:rFonts w:eastAsia="宋体..閰繷." w:cs="Times New Roman" w:hint="eastAsia"/>
          <w:szCs w:val="18"/>
        </w:rPr>
        <w:t>4,888</w:t>
      </w:r>
      <w:r w:rsidRPr="004B6546">
        <w:rPr>
          <w:rFonts w:eastAsia="宋体..閰繷." w:cs="Times New Roman" w:hint="eastAsia"/>
          <w:szCs w:val="18"/>
        </w:rPr>
        <w:t>亿元，同比增长</w:t>
      </w:r>
      <w:r w:rsidRPr="004B6546">
        <w:rPr>
          <w:rFonts w:eastAsia="宋体..閰繷." w:cs="Times New Roman" w:hint="eastAsia"/>
          <w:szCs w:val="18"/>
        </w:rPr>
        <w:t>1.1%</w:t>
      </w:r>
      <w:r>
        <w:rPr>
          <w:rFonts w:eastAsia="宋体..閰繷." w:cs="Times New Roman" w:hint="eastAsia"/>
          <w:szCs w:val="18"/>
        </w:rPr>
        <w:t>。</w:t>
      </w:r>
      <w:r w:rsidR="00440819">
        <w:rPr>
          <w:rFonts w:eastAsia="宋体..閰繷." w:cs="Times New Roman" w:hint="eastAsia"/>
          <w:szCs w:val="18"/>
        </w:rPr>
        <w:t>公司一方面加快客户向</w:t>
      </w:r>
      <w:r w:rsidR="00440819">
        <w:rPr>
          <w:rFonts w:eastAsia="宋体..閰繷." w:cs="Times New Roman" w:hint="eastAsia"/>
          <w:szCs w:val="18"/>
        </w:rPr>
        <w:t>5</w:t>
      </w:r>
      <w:r w:rsidR="00440819">
        <w:rPr>
          <w:rFonts w:eastAsia="宋体..閰繷." w:cs="Times New Roman"/>
          <w:szCs w:val="18"/>
        </w:rPr>
        <w:t>G</w:t>
      </w:r>
      <w:r w:rsidR="00440819">
        <w:rPr>
          <w:rFonts w:eastAsia="宋体..閰繷." w:cs="Times New Roman" w:hint="eastAsia"/>
          <w:szCs w:val="18"/>
        </w:rPr>
        <w:t>迁移，</w:t>
      </w:r>
      <w:r w:rsidR="00C50276">
        <w:rPr>
          <w:rFonts w:eastAsia="宋体..閰繷." w:cs="Times New Roman" w:hint="eastAsia"/>
          <w:szCs w:val="18"/>
        </w:rPr>
        <w:t>强化个人市场与家庭市场、政企市场的协同扩展，持续提升</w:t>
      </w:r>
      <w:r w:rsidR="00C50276">
        <w:rPr>
          <w:rFonts w:eastAsia="宋体..閰繷." w:cs="Times New Roman" w:hint="eastAsia"/>
          <w:szCs w:val="18"/>
        </w:rPr>
        <w:t>5</w:t>
      </w:r>
      <w:r w:rsidR="00C50276">
        <w:rPr>
          <w:rFonts w:eastAsia="宋体..閰繷." w:cs="Times New Roman"/>
          <w:szCs w:val="18"/>
        </w:rPr>
        <w:t>G</w:t>
      </w:r>
      <w:r w:rsidR="00C50276">
        <w:rPr>
          <w:rFonts w:eastAsia="宋体..閰繷." w:cs="Times New Roman" w:hint="eastAsia"/>
          <w:szCs w:val="18"/>
        </w:rPr>
        <w:t>渗透率，促进个人信息通信消费升级。</w:t>
      </w:r>
      <w:r>
        <w:rPr>
          <w:rFonts w:eastAsia="宋体..閰繷." w:cs="Times New Roman" w:hint="eastAsia"/>
          <w:szCs w:val="18"/>
        </w:rPr>
        <w:t>2</w:t>
      </w:r>
      <w:r>
        <w:rPr>
          <w:rFonts w:eastAsia="宋体..閰繷." w:cs="Times New Roman"/>
          <w:szCs w:val="18"/>
        </w:rPr>
        <w:t>022</w:t>
      </w:r>
      <w:r>
        <w:rPr>
          <w:rFonts w:eastAsia="宋体..閰繷." w:cs="Times New Roman" w:hint="eastAsia"/>
          <w:szCs w:val="18"/>
        </w:rPr>
        <w:t>年公司</w:t>
      </w:r>
      <w:r w:rsidR="00440819">
        <w:rPr>
          <w:rFonts w:eastAsia="宋体..閰繷." w:cs="Times New Roman" w:hint="eastAsia"/>
          <w:szCs w:val="18"/>
        </w:rPr>
        <w:t>移动客户数达</w:t>
      </w:r>
      <w:r w:rsidR="00440819">
        <w:rPr>
          <w:rFonts w:eastAsia="宋体..閰繷." w:cs="Times New Roman" w:hint="eastAsia"/>
          <w:szCs w:val="18"/>
        </w:rPr>
        <w:t>9</w:t>
      </w:r>
      <w:r w:rsidR="00440819">
        <w:rPr>
          <w:rFonts w:eastAsia="宋体..閰繷." w:cs="Times New Roman"/>
          <w:szCs w:val="18"/>
        </w:rPr>
        <w:t>.75</w:t>
      </w:r>
      <w:r w:rsidR="00440819">
        <w:rPr>
          <w:rFonts w:eastAsia="宋体..閰繷." w:cs="Times New Roman" w:hint="eastAsia"/>
          <w:szCs w:val="18"/>
        </w:rPr>
        <w:t>亿，净增</w:t>
      </w:r>
      <w:r w:rsidR="00440819">
        <w:rPr>
          <w:rFonts w:eastAsia="宋体..閰繷." w:cs="Times New Roman" w:hint="eastAsia"/>
          <w:szCs w:val="18"/>
        </w:rPr>
        <w:t>1,8</w:t>
      </w:r>
      <w:r w:rsidR="00440819">
        <w:rPr>
          <w:rFonts w:eastAsia="宋体..閰繷." w:cs="Times New Roman"/>
          <w:szCs w:val="18"/>
        </w:rPr>
        <w:t>11</w:t>
      </w:r>
      <w:r w:rsidR="00440819">
        <w:rPr>
          <w:rFonts w:eastAsia="宋体..閰繷." w:cs="Times New Roman" w:hint="eastAsia"/>
          <w:szCs w:val="18"/>
        </w:rPr>
        <w:t>万户，净增规模创三年新高。其中</w:t>
      </w:r>
      <w:r w:rsidR="00440819">
        <w:rPr>
          <w:rFonts w:eastAsia="宋体..閰繷." w:cs="Times New Roman" w:hint="eastAsia"/>
          <w:szCs w:val="18"/>
        </w:rPr>
        <w:t>5</w:t>
      </w:r>
      <w:r w:rsidR="00440819">
        <w:rPr>
          <w:rFonts w:eastAsia="宋体..閰繷." w:cs="Times New Roman"/>
          <w:szCs w:val="18"/>
        </w:rPr>
        <w:t>G</w:t>
      </w:r>
      <w:r w:rsidR="00440819">
        <w:rPr>
          <w:rFonts w:eastAsia="宋体..閰繷." w:cs="Times New Roman" w:hint="eastAsia"/>
          <w:szCs w:val="18"/>
        </w:rPr>
        <w:t>套餐用户</w:t>
      </w:r>
      <w:r w:rsidR="00440819">
        <w:rPr>
          <w:rFonts w:eastAsia="宋体..閰繷." w:cs="Times New Roman" w:hint="eastAsia"/>
          <w:szCs w:val="18"/>
        </w:rPr>
        <w:t>6</w:t>
      </w:r>
      <w:r w:rsidR="00440819">
        <w:rPr>
          <w:rFonts w:eastAsia="宋体..閰繷." w:cs="Times New Roman"/>
          <w:szCs w:val="18"/>
        </w:rPr>
        <w:t>.14</w:t>
      </w:r>
      <w:r w:rsidR="00440819">
        <w:rPr>
          <w:rFonts w:eastAsia="宋体..閰繷." w:cs="Times New Roman" w:hint="eastAsia"/>
          <w:szCs w:val="18"/>
        </w:rPr>
        <w:t>亿户，</w:t>
      </w:r>
      <w:r w:rsidR="00440819">
        <w:rPr>
          <w:rFonts w:eastAsia="宋体..閰繷." w:cs="Times New Roman" w:hint="eastAsia"/>
          <w:szCs w:val="18"/>
        </w:rPr>
        <w:t>5</w:t>
      </w:r>
      <w:r w:rsidR="00440819">
        <w:rPr>
          <w:rFonts w:eastAsia="宋体..閰繷." w:cs="Times New Roman"/>
          <w:szCs w:val="18"/>
        </w:rPr>
        <w:t>G</w:t>
      </w:r>
      <w:r w:rsidR="00440819">
        <w:rPr>
          <w:rFonts w:eastAsia="宋体..閰繷." w:cs="Times New Roman" w:hint="eastAsia"/>
          <w:szCs w:val="18"/>
        </w:rPr>
        <w:t>渗透率达</w:t>
      </w:r>
      <w:r w:rsidR="00440819">
        <w:rPr>
          <w:rFonts w:eastAsia="宋体..閰繷." w:cs="Times New Roman" w:hint="eastAsia"/>
          <w:szCs w:val="18"/>
        </w:rPr>
        <w:t>6</w:t>
      </w:r>
      <w:r w:rsidR="00440819">
        <w:rPr>
          <w:rFonts w:eastAsia="宋体..閰繷." w:cs="Times New Roman"/>
          <w:szCs w:val="18"/>
        </w:rPr>
        <w:t>3%</w:t>
      </w:r>
      <w:r w:rsidR="00440819">
        <w:rPr>
          <w:rFonts w:eastAsia="宋体..閰繷." w:cs="Times New Roman" w:hint="eastAsia"/>
          <w:szCs w:val="18"/>
        </w:rPr>
        <w:t>。</w:t>
      </w:r>
      <w:r w:rsidRPr="004B6546">
        <w:rPr>
          <w:rFonts w:eastAsia="宋体..閰繷." w:cs="Times New Roman" w:hint="eastAsia"/>
          <w:szCs w:val="18"/>
        </w:rPr>
        <w:t>另一方面，公司围绕数字消费需求打造平台经济模式，</w:t>
      </w:r>
      <w:r>
        <w:rPr>
          <w:rFonts w:eastAsia="宋体..閰繷." w:cs="Times New Roman" w:hint="eastAsia"/>
          <w:szCs w:val="18"/>
        </w:rPr>
        <w:t>加强产品融合、业务融合和场景融合，大力推广中国移动数字生活超市。移动云盘月活跃用户达到</w:t>
      </w:r>
      <w:r>
        <w:rPr>
          <w:rFonts w:eastAsia="宋体..閰繷." w:cs="Times New Roman" w:hint="eastAsia"/>
          <w:szCs w:val="18"/>
        </w:rPr>
        <w:t>1</w:t>
      </w:r>
      <w:r>
        <w:rPr>
          <w:rFonts w:eastAsia="宋体..閰繷." w:cs="Times New Roman"/>
          <w:szCs w:val="18"/>
        </w:rPr>
        <w:t>.66</w:t>
      </w:r>
      <w:r>
        <w:rPr>
          <w:rFonts w:eastAsia="宋体..閰繷." w:cs="Times New Roman" w:hint="eastAsia"/>
          <w:szCs w:val="18"/>
        </w:rPr>
        <w:t>亿户，净增</w:t>
      </w:r>
      <w:r>
        <w:rPr>
          <w:rFonts w:eastAsia="宋体..閰繷." w:cs="Times New Roman" w:hint="eastAsia"/>
          <w:szCs w:val="18"/>
        </w:rPr>
        <w:t>3</w:t>
      </w:r>
      <w:r>
        <w:rPr>
          <w:rFonts w:eastAsia="宋体..閰繷." w:cs="Times New Roman"/>
          <w:szCs w:val="18"/>
        </w:rPr>
        <w:t>,065</w:t>
      </w:r>
      <w:r>
        <w:rPr>
          <w:rFonts w:eastAsia="宋体..閰繷." w:cs="Times New Roman" w:hint="eastAsia"/>
          <w:szCs w:val="18"/>
        </w:rPr>
        <w:t>万户。</w:t>
      </w:r>
      <w:r w:rsidR="003F4563">
        <w:rPr>
          <w:rFonts w:eastAsia="宋体..閰繷." w:cs="Times New Roman" w:hint="eastAsia"/>
          <w:szCs w:val="18"/>
        </w:rPr>
        <w:t>得益于</w:t>
      </w:r>
      <w:r w:rsidR="003F4563">
        <w:rPr>
          <w:rFonts w:eastAsia="宋体..閰繷." w:cs="Times New Roman" w:hint="eastAsia"/>
          <w:szCs w:val="18"/>
        </w:rPr>
        <w:t>5</w:t>
      </w:r>
      <w:r w:rsidR="003F4563">
        <w:rPr>
          <w:rFonts w:eastAsia="宋体..閰繷." w:cs="Times New Roman"/>
          <w:szCs w:val="18"/>
        </w:rPr>
        <w:t>G</w:t>
      </w:r>
      <w:r w:rsidR="003F4563">
        <w:rPr>
          <w:rFonts w:eastAsia="宋体..閰繷." w:cs="Times New Roman" w:hint="eastAsia"/>
          <w:szCs w:val="18"/>
        </w:rPr>
        <w:t>渗透率提升和个人数字生活消费增长拉动，移动</w:t>
      </w:r>
      <w:r w:rsidR="003F4563">
        <w:rPr>
          <w:rFonts w:eastAsia="宋体..閰繷." w:cs="Times New Roman" w:hint="eastAsia"/>
          <w:szCs w:val="18"/>
        </w:rPr>
        <w:t>A</w:t>
      </w:r>
      <w:r w:rsidR="003F4563">
        <w:rPr>
          <w:rFonts w:eastAsia="宋体..閰繷." w:cs="Times New Roman"/>
          <w:szCs w:val="18"/>
        </w:rPr>
        <w:t>RPU</w:t>
      </w:r>
      <w:r w:rsidR="003F4563">
        <w:rPr>
          <w:rFonts w:eastAsia="宋体..閰繷." w:cs="Times New Roman" w:hint="eastAsia"/>
          <w:szCs w:val="18"/>
        </w:rPr>
        <w:t>稳健增长至</w:t>
      </w:r>
      <w:r w:rsidR="003F4563">
        <w:rPr>
          <w:rFonts w:eastAsia="宋体..閰繷." w:cs="Times New Roman" w:hint="eastAsia"/>
          <w:szCs w:val="18"/>
        </w:rPr>
        <w:t>4</w:t>
      </w:r>
      <w:r w:rsidR="003F4563">
        <w:rPr>
          <w:rFonts w:eastAsia="宋体..閰繷." w:cs="Times New Roman"/>
          <w:szCs w:val="18"/>
        </w:rPr>
        <w:t>9.0</w:t>
      </w:r>
      <w:r w:rsidR="003F4563">
        <w:rPr>
          <w:rFonts w:eastAsia="宋体..閰繷." w:cs="Times New Roman" w:hint="eastAsia"/>
          <w:szCs w:val="18"/>
        </w:rPr>
        <w:t>元，同比增长</w:t>
      </w:r>
      <w:r w:rsidR="003F4563">
        <w:rPr>
          <w:rFonts w:eastAsia="宋体..閰繷." w:cs="Times New Roman" w:hint="eastAsia"/>
          <w:szCs w:val="18"/>
        </w:rPr>
        <w:t>0</w:t>
      </w:r>
      <w:r w:rsidR="003F4563">
        <w:rPr>
          <w:rFonts w:eastAsia="宋体..閰繷." w:cs="Times New Roman"/>
          <w:szCs w:val="18"/>
        </w:rPr>
        <w:t>.4</w:t>
      </w:r>
      <w:r w:rsidR="003F4563">
        <w:rPr>
          <w:rFonts w:eastAsia="宋体..閰繷." w:cs="Times New Roman" w:hint="eastAsia"/>
          <w:szCs w:val="18"/>
        </w:rPr>
        <w:t>%</w:t>
      </w:r>
      <w:r w:rsidR="003F4563">
        <w:rPr>
          <w:rFonts w:eastAsia="宋体..閰繷." w:cs="Times New Roman" w:hint="eastAsia"/>
          <w:szCs w:val="18"/>
        </w:rPr>
        <w:t>。</w:t>
      </w:r>
    </w:p>
    <w:p w14:paraId="5BDFD4AD" w14:textId="467B061C" w:rsidR="009D6BAC" w:rsidRDefault="009D6BAC" w:rsidP="009D6BAC">
      <w:pPr>
        <w:spacing w:beforeLines="50" w:before="120" w:afterLines="50" w:after="120" w:line="276" w:lineRule="auto"/>
        <w:jc w:val="both"/>
        <w:rPr>
          <w:rFonts w:eastAsia="宋体..閰繷." w:cs="Times New Roman"/>
          <w:szCs w:val="18"/>
        </w:rPr>
      </w:pPr>
      <w:r>
        <w:rPr>
          <w:rFonts w:eastAsia="宋体..閰繷." w:cs="Times New Roman"/>
          <w:szCs w:val="18"/>
        </w:rPr>
        <w:t>2</w:t>
      </w:r>
      <w:r>
        <w:rPr>
          <w:rFonts w:eastAsia="宋体..閰繷." w:cs="Times New Roman" w:hint="eastAsia"/>
          <w:szCs w:val="18"/>
        </w:rPr>
        <w:t>、</w:t>
      </w:r>
      <w:r w:rsidR="00B043FB">
        <w:rPr>
          <w:rFonts w:eastAsia="宋体..閰繷." w:cs="Times New Roman" w:hint="eastAsia"/>
          <w:szCs w:val="18"/>
        </w:rPr>
        <w:t>家庭市场加快</w:t>
      </w:r>
      <w:r w:rsidR="00B043FB" w:rsidRPr="00B043FB">
        <w:rPr>
          <w:rFonts w:eastAsia="宋体..閰繷." w:cs="Times New Roman" w:hint="eastAsia"/>
          <w:szCs w:val="18"/>
        </w:rPr>
        <w:t>HDICT</w:t>
      </w:r>
      <w:r w:rsidR="00B043FB" w:rsidRPr="00B043FB">
        <w:rPr>
          <w:rFonts w:eastAsia="宋体..閰繷." w:cs="Times New Roman" w:hint="eastAsia"/>
          <w:szCs w:val="18"/>
        </w:rPr>
        <w:t>转型升级</w:t>
      </w:r>
      <w:r>
        <w:rPr>
          <w:rFonts w:eastAsia="宋体..閰繷." w:cs="Times New Roman" w:hint="eastAsia"/>
          <w:szCs w:val="18"/>
        </w:rPr>
        <w:t>，</w:t>
      </w:r>
      <w:r w:rsidR="00B043FB">
        <w:rPr>
          <w:rFonts w:eastAsia="宋体..閰繷." w:cs="Times New Roman" w:hint="eastAsia"/>
          <w:szCs w:val="18"/>
        </w:rPr>
        <w:t>业务保持快速增长</w:t>
      </w:r>
      <w:r>
        <w:rPr>
          <w:rFonts w:eastAsia="宋体..閰繷." w:cs="Times New Roman" w:hint="eastAsia"/>
          <w:szCs w:val="18"/>
        </w:rPr>
        <w:t>。</w:t>
      </w:r>
    </w:p>
    <w:p w14:paraId="42671D4A" w14:textId="6DB1E69C" w:rsidR="00030A3D" w:rsidRDefault="009E3C86" w:rsidP="009F14D2">
      <w:pPr>
        <w:spacing w:beforeLines="50" w:before="120" w:afterLines="50" w:after="120" w:line="276" w:lineRule="auto"/>
        <w:rPr>
          <w:rFonts w:eastAsia="宋体..閰繷." w:cs="Times New Roman"/>
          <w:szCs w:val="18"/>
        </w:rPr>
      </w:pPr>
      <w:r>
        <w:rPr>
          <w:rFonts w:eastAsia="宋体..閰繷." w:cs="Times New Roman" w:hint="eastAsia"/>
          <w:szCs w:val="18"/>
        </w:rPr>
        <w:t>2</w:t>
      </w:r>
      <w:r>
        <w:rPr>
          <w:rFonts w:eastAsia="宋体..閰繷." w:cs="Times New Roman"/>
          <w:szCs w:val="18"/>
        </w:rPr>
        <w:t>022</w:t>
      </w:r>
      <w:r>
        <w:rPr>
          <w:rFonts w:eastAsia="宋体..閰繷." w:cs="Times New Roman" w:hint="eastAsia"/>
          <w:szCs w:val="18"/>
        </w:rPr>
        <w:t>年，公司</w:t>
      </w:r>
      <w:r w:rsidRPr="009E3C86">
        <w:rPr>
          <w:rFonts w:eastAsia="宋体..閰繷." w:cs="Times New Roman" w:hint="eastAsia"/>
          <w:szCs w:val="18"/>
        </w:rPr>
        <w:t>家庭市场</w:t>
      </w:r>
      <w:r>
        <w:rPr>
          <w:rFonts w:eastAsia="宋体..閰繷." w:cs="Times New Roman" w:hint="eastAsia"/>
          <w:szCs w:val="18"/>
        </w:rPr>
        <w:t>业务收入达</w:t>
      </w:r>
      <w:r>
        <w:rPr>
          <w:rFonts w:eastAsia="宋体..閰繷." w:cs="Times New Roman" w:hint="eastAsia"/>
          <w:szCs w:val="18"/>
        </w:rPr>
        <w:t>1</w:t>
      </w:r>
      <w:r>
        <w:rPr>
          <w:rFonts w:eastAsia="宋体..閰繷." w:cs="Times New Roman"/>
          <w:szCs w:val="18"/>
        </w:rPr>
        <w:t>,166</w:t>
      </w:r>
      <w:r>
        <w:rPr>
          <w:rFonts w:eastAsia="宋体..閰繷." w:cs="Times New Roman" w:hint="eastAsia"/>
          <w:szCs w:val="18"/>
        </w:rPr>
        <w:t>亿元，同比增长</w:t>
      </w:r>
      <w:r>
        <w:rPr>
          <w:rFonts w:eastAsia="宋体..閰繷." w:cs="Times New Roman" w:hint="eastAsia"/>
          <w:szCs w:val="18"/>
        </w:rPr>
        <w:t>1</w:t>
      </w:r>
      <w:r>
        <w:rPr>
          <w:rFonts w:eastAsia="宋体..閰繷." w:cs="Times New Roman"/>
          <w:szCs w:val="18"/>
        </w:rPr>
        <w:t>6.0%</w:t>
      </w:r>
      <w:r>
        <w:rPr>
          <w:rFonts w:eastAsia="宋体..閰繷." w:cs="Times New Roman" w:hint="eastAsia"/>
          <w:szCs w:val="18"/>
        </w:rPr>
        <w:t>。公司积极推进宽带、电视、智慧家庭“三领先”工程，加快推动家庭业务向</w:t>
      </w:r>
      <w:r>
        <w:rPr>
          <w:rFonts w:eastAsia="宋体..閰繷." w:cs="Times New Roman" w:hint="eastAsia"/>
          <w:szCs w:val="18"/>
        </w:rPr>
        <w:t>H</w:t>
      </w:r>
      <w:r>
        <w:rPr>
          <w:rFonts w:eastAsia="宋体..閰繷." w:cs="Times New Roman"/>
          <w:szCs w:val="18"/>
        </w:rPr>
        <w:t>DICT</w:t>
      </w:r>
      <w:r>
        <w:rPr>
          <w:rFonts w:eastAsia="宋体..閰繷." w:cs="Times New Roman" w:hint="eastAsia"/>
          <w:szCs w:val="18"/>
        </w:rPr>
        <w:t>转型升级。家庭宽带</w:t>
      </w:r>
      <w:r w:rsidR="006F1972">
        <w:rPr>
          <w:rFonts w:eastAsia="宋体..閰繷." w:cs="Times New Roman" w:hint="eastAsia"/>
          <w:szCs w:val="18"/>
        </w:rPr>
        <w:t>客户</w:t>
      </w:r>
      <w:r>
        <w:rPr>
          <w:rFonts w:eastAsia="宋体..閰繷." w:cs="Times New Roman" w:hint="eastAsia"/>
          <w:szCs w:val="18"/>
        </w:rPr>
        <w:t>规模达到</w:t>
      </w:r>
      <w:r>
        <w:rPr>
          <w:rFonts w:eastAsia="宋体..閰繷." w:cs="Times New Roman" w:hint="eastAsia"/>
          <w:szCs w:val="18"/>
        </w:rPr>
        <w:t>2</w:t>
      </w:r>
      <w:r>
        <w:rPr>
          <w:rFonts w:eastAsia="宋体..閰繷." w:cs="Times New Roman"/>
          <w:szCs w:val="18"/>
        </w:rPr>
        <w:t>.44</w:t>
      </w:r>
      <w:r>
        <w:rPr>
          <w:rFonts w:eastAsia="宋体..閰繷." w:cs="Times New Roman" w:hint="eastAsia"/>
          <w:szCs w:val="18"/>
        </w:rPr>
        <w:t>亿户，净增</w:t>
      </w:r>
      <w:r>
        <w:rPr>
          <w:rFonts w:eastAsia="宋体..閰繷." w:cs="Times New Roman" w:hint="eastAsia"/>
          <w:szCs w:val="18"/>
        </w:rPr>
        <w:t>2</w:t>
      </w:r>
      <w:r>
        <w:rPr>
          <w:rFonts w:eastAsia="宋体..閰繷." w:cs="Times New Roman"/>
          <w:szCs w:val="18"/>
        </w:rPr>
        <w:t>,578</w:t>
      </w:r>
      <w:r>
        <w:rPr>
          <w:rFonts w:eastAsia="宋体..閰繷." w:cs="Times New Roman" w:hint="eastAsia"/>
          <w:szCs w:val="18"/>
        </w:rPr>
        <w:t>万户，其中千兆家庭宽带用户达</w:t>
      </w:r>
      <w:r>
        <w:rPr>
          <w:rFonts w:eastAsia="宋体..閰繷." w:cs="Times New Roman" w:hint="eastAsia"/>
          <w:szCs w:val="18"/>
        </w:rPr>
        <w:t>3</w:t>
      </w:r>
      <w:r>
        <w:rPr>
          <w:rFonts w:eastAsia="宋体..閰繷." w:cs="Times New Roman"/>
          <w:szCs w:val="18"/>
        </w:rPr>
        <w:t>,833</w:t>
      </w:r>
      <w:r>
        <w:rPr>
          <w:rFonts w:eastAsia="宋体..閰繷." w:cs="Times New Roman" w:hint="eastAsia"/>
          <w:szCs w:val="18"/>
        </w:rPr>
        <w:t>万户。</w:t>
      </w:r>
      <w:r w:rsidR="006F1972">
        <w:rPr>
          <w:rFonts w:eastAsia="宋体..閰繷." w:cs="Times New Roman" w:hint="eastAsia"/>
          <w:szCs w:val="18"/>
        </w:rPr>
        <w:t>移动高清客户规模达</w:t>
      </w:r>
      <w:r w:rsidR="006F1972">
        <w:rPr>
          <w:rFonts w:eastAsia="宋体..閰繷." w:cs="Times New Roman" w:hint="eastAsia"/>
          <w:szCs w:val="18"/>
        </w:rPr>
        <w:t>1</w:t>
      </w:r>
      <w:r w:rsidR="006F1972">
        <w:rPr>
          <w:rFonts w:eastAsia="宋体..閰繷." w:cs="Times New Roman"/>
          <w:szCs w:val="18"/>
        </w:rPr>
        <w:t>.93</w:t>
      </w:r>
      <w:r w:rsidR="006F1972">
        <w:rPr>
          <w:rFonts w:eastAsia="宋体..閰繷." w:cs="Times New Roman" w:hint="eastAsia"/>
          <w:szCs w:val="18"/>
        </w:rPr>
        <w:t>亿，智慧家庭增值业务对家庭市场收入增量的贡献达到</w:t>
      </w:r>
      <w:r w:rsidR="006F1972">
        <w:rPr>
          <w:rFonts w:eastAsia="宋体..閰繷." w:cs="Times New Roman" w:hint="eastAsia"/>
          <w:szCs w:val="18"/>
        </w:rPr>
        <w:t>5</w:t>
      </w:r>
      <w:r w:rsidR="006F1972">
        <w:rPr>
          <w:rFonts w:eastAsia="宋体..閰繷." w:cs="Times New Roman"/>
          <w:szCs w:val="18"/>
        </w:rPr>
        <w:t>5.9%</w:t>
      </w:r>
      <w:r w:rsidR="006F1972">
        <w:rPr>
          <w:rFonts w:eastAsia="宋体..閰繷." w:cs="Times New Roman" w:hint="eastAsia"/>
          <w:szCs w:val="18"/>
        </w:rPr>
        <w:t>。宽带升级、智慧家庭生活消费增长带动家庭客户综合</w:t>
      </w:r>
      <w:r w:rsidR="006F1972">
        <w:rPr>
          <w:rFonts w:eastAsia="宋体..閰繷." w:cs="Times New Roman" w:hint="eastAsia"/>
          <w:szCs w:val="18"/>
        </w:rPr>
        <w:t>A</w:t>
      </w:r>
      <w:r w:rsidR="006F1972">
        <w:rPr>
          <w:rFonts w:eastAsia="宋体..閰繷." w:cs="Times New Roman"/>
          <w:szCs w:val="18"/>
        </w:rPr>
        <w:t>RPU</w:t>
      </w:r>
      <w:r w:rsidR="006F1972">
        <w:rPr>
          <w:rFonts w:eastAsia="宋体..閰繷." w:cs="Times New Roman" w:hint="eastAsia"/>
          <w:szCs w:val="18"/>
        </w:rPr>
        <w:t>同比增长</w:t>
      </w:r>
      <w:r w:rsidR="006F1972">
        <w:rPr>
          <w:rFonts w:eastAsia="宋体..閰繷." w:cs="Times New Roman" w:hint="eastAsia"/>
          <w:szCs w:val="18"/>
        </w:rPr>
        <w:t>5</w:t>
      </w:r>
      <w:r w:rsidR="006F1972">
        <w:rPr>
          <w:rFonts w:eastAsia="宋体..閰繷." w:cs="Times New Roman"/>
          <w:szCs w:val="18"/>
        </w:rPr>
        <w:t>.8%</w:t>
      </w:r>
      <w:r w:rsidR="006F1972">
        <w:rPr>
          <w:rFonts w:eastAsia="宋体..閰繷." w:cs="Times New Roman" w:hint="eastAsia"/>
          <w:szCs w:val="18"/>
        </w:rPr>
        <w:t>，达到</w:t>
      </w:r>
      <w:r w:rsidR="006F1972">
        <w:rPr>
          <w:rFonts w:eastAsia="宋体..閰繷." w:cs="Times New Roman" w:hint="eastAsia"/>
          <w:szCs w:val="18"/>
        </w:rPr>
        <w:t>4</w:t>
      </w:r>
      <w:r w:rsidR="006F1972">
        <w:rPr>
          <w:rFonts w:eastAsia="宋体..閰繷." w:cs="Times New Roman"/>
          <w:szCs w:val="18"/>
        </w:rPr>
        <w:t>2.1</w:t>
      </w:r>
      <w:r w:rsidR="006F1972">
        <w:rPr>
          <w:rFonts w:eastAsia="宋体..閰繷." w:cs="Times New Roman" w:hint="eastAsia"/>
          <w:szCs w:val="18"/>
        </w:rPr>
        <w:t>元。</w:t>
      </w:r>
    </w:p>
    <w:p w14:paraId="0642B3E1" w14:textId="1144E941" w:rsidR="00605375" w:rsidRDefault="00605375" w:rsidP="00605375">
      <w:pPr>
        <w:spacing w:beforeLines="50" w:before="120" w:afterLines="50" w:after="120" w:line="276" w:lineRule="auto"/>
        <w:jc w:val="both"/>
        <w:rPr>
          <w:rFonts w:eastAsia="宋体..閰繷." w:cs="Times New Roman"/>
          <w:szCs w:val="18"/>
        </w:rPr>
      </w:pPr>
      <w:r>
        <w:rPr>
          <w:rFonts w:eastAsia="宋体..閰繷." w:cs="Times New Roman"/>
          <w:szCs w:val="18"/>
        </w:rPr>
        <w:lastRenderedPageBreak/>
        <w:t>3</w:t>
      </w:r>
      <w:r>
        <w:rPr>
          <w:rFonts w:eastAsia="宋体..閰繷." w:cs="Times New Roman" w:hint="eastAsia"/>
          <w:szCs w:val="18"/>
        </w:rPr>
        <w:t>、</w:t>
      </w:r>
      <w:r w:rsidR="00992F5E">
        <w:rPr>
          <w:rFonts w:eastAsia="宋体..閰繷." w:cs="Times New Roman" w:hint="eastAsia"/>
          <w:szCs w:val="18"/>
        </w:rPr>
        <w:t>政企</w:t>
      </w:r>
      <w:r>
        <w:rPr>
          <w:rFonts w:eastAsia="宋体..閰繷." w:cs="Times New Roman" w:hint="eastAsia"/>
          <w:szCs w:val="18"/>
        </w:rPr>
        <w:t>市场业务</w:t>
      </w:r>
      <w:r w:rsidR="000620FA" w:rsidRPr="000620FA">
        <w:rPr>
          <w:rFonts w:eastAsia="宋体..閰繷." w:cs="Times New Roman" w:hint="eastAsia"/>
          <w:szCs w:val="18"/>
        </w:rPr>
        <w:t>强化“网</w:t>
      </w:r>
      <w:r w:rsidR="000620FA" w:rsidRPr="000620FA">
        <w:rPr>
          <w:rFonts w:eastAsia="宋体..閰繷." w:cs="Times New Roman" w:hint="eastAsia"/>
          <w:szCs w:val="18"/>
        </w:rPr>
        <w:t>+</w:t>
      </w:r>
      <w:r w:rsidR="000620FA" w:rsidRPr="000620FA">
        <w:rPr>
          <w:rFonts w:eastAsia="宋体..閰繷." w:cs="Times New Roman" w:hint="eastAsia"/>
          <w:szCs w:val="18"/>
        </w:rPr>
        <w:t>云</w:t>
      </w:r>
      <w:r w:rsidR="000620FA" w:rsidRPr="000620FA">
        <w:rPr>
          <w:rFonts w:eastAsia="宋体..閰繷." w:cs="Times New Roman" w:hint="eastAsia"/>
          <w:szCs w:val="18"/>
        </w:rPr>
        <w:t>+DICT</w:t>
      </w:r>
      <w:r w:rsidR="000620FA" w:rsidRPr="000620FA">
        <w:rPr>
          <w:rFonts w:eastAsia="宋体..閰繷." w:cs="Times New Roman" w:hint="eastAsia"/>
          <w:szCs w:val="18"/>
        </w:rPr>
        <w:t>”一体化拓展</w:t>
      </w:r>
      <w:r>
        <w:rPr>
          <w:rFonts w:eastAsia="宋体..閰繷." w:cs="Times New Roman" w:hint="eastAsia"/>
          <w:szCs w:val="18"/>
        </w:rPr>
        <w:t>，</w:t>
      </w:r>
      <w:r w:rsidR="000620FA" w:rsidRPr="000620FA">
        <w:rPr>
          <w:rFonts w:eastAsia="宋体..閰繷." w:cs="Times New Roman" w:hint="eastAsia"/>
          <w:szCs w:val="18"/>
        </w:rPr>
        <w:t>持续保持强劲增长</w:t>
      </w:r>
      <w:r>
        <w:rPr>
          <w:rFonts w:eastAsia="宋体..閰繷." w:cs="Times New Roman" w:hint="eastAsia"/>
          <w:szCs w:val="18"/>
        </w:rPr>
        <w:t>。</w:t>
      </w:r>
    </w:p>
    <w:p w14:paraId="1B46FD85" w14:textId="552E5A4D" w:rsidR="006F1972" w:rsidRDefault="00992F5E" w:rsidP="006B6E17">
      <w:pPr>
        <w:spacing w:beforeLines="50" w:before="120" w:afterLines="50" w:after="120" w:line="276" w:lineRule="auto"/>
        <w:rPr>
          <w:rFonts w:eastAsia="宋体..閰繷." w:cs="Times New Roman"/>
          <w:szCs w:val="18"/>
        </w:rPr>
      </w:pPr>
      <w:r>
        <w:rPr>
          <w:rFonts w:eastAsia="宋体..閰繷." w:cs="Times New Roman"/>
          <w:szCs w:val="18"/>
        </w:rPr>
        <w:t>20</w:t>
      </w:r>
      <w:r w:rsidR="005C7278">
        <w:rPr>
          <w:rFonts w:eastAsia="宋体..閰繷." w:cs="Times New Roman"/>
          <w:szCs w:val="18"/>
        </w:rPr>
        <w:t>22</w:t>
      </w:r>
      <w:r>
        <w:rPr>
          <w:rFonts w:eastAsia="宋体..閰繷." w:cs="Times New Roman" w:hint="eastAsia"/>
          <w:szCs w:val="18"/>
        </w:rPr>
        <w:t>年，公司政企市场业务收入达</w:t>
      </w:r>
      <w:r>
        <w:rPr>
          <w:rFonts w:eastAsia="宋体..閰繷." w:cs="Times New Roman" w:hint="eastAsia"/>
          <w:szCs w:val="18"/>
        </w:rPr>
        <w:t>1</w:t>
      </w:r>
      <w:r>
        <w:rPr>
          <w:rFonts w:eastAsia="宋体..閰繷." w:cs="Times New Roman"/>
          <w:szCs w:val="18"/>
        </w:rPr>
        <w:t>,682</w:t>
      </w:r>
      <w:r>
        <w:rPr>
          <w:rFonts w:eastAsia="宋体..閰繷." w:cs="Times New Roman" w:hint="eastAsia"/>
          <w:szCs w:val="18"/>
        </w:rPr>
        <w:t>亿，同比增长</w:t>
      </w:r>
      <w:r>
        <w:rPr>
          <w:rFonts w:eastAsia="宋体..閰繷." w:cs="Times New Roman" w:hint="eastAsia"/>
          <w:szCs w:val="18"/>
        </w:rPr>
        <w:t>2</w:t>
      </w:r>
      <w:r>
        <w:rPr>
          <w:rFonts w:eastAsia="宋体..閰繷." w:cs="Times New Roman"/>
          <w:szCs w:val="18"/>
        </w:rPr>
        <w:t>2.6%</w:t>
      </w:r>
      <w:r>
        <w:rPr>
          <w:rFonts w:eastAsia="宋体..閰繷." w:cs="Times New Roman" w:hint="eastAsia"/>
          <w:szCs w:val="18"/>
        </w:rPr>
        <w:t>，持续保持</w:t>
      </w:r>
      <w:r w:rsidR="00AF3C61">
        <w:rPr>
          <w:rFonts w:eastAsia="宋体..閰繷." w:cs="Times New Roman" w:hint="eastAsia"/>
          <w:szCs w:val="18"/>
        </w:rPr>
        <w:t>强劲</w:t>
      </w:r>
      <w:r>
        <w:rPr>
          <w:rFonts w:eastAsia="宋体..閰繷." w:cs="Times New Roman" w:hint="eastAsia"/>
          <w:szCs w:val="18"/>
        </w:rPr>
        <w:t>增长。</w:t>
      </w:r>
      <w:r w:rsidR="005C7278" w:rsidRPr="005C7278">
        <w:rPr>
          <w:rFonts w:eastAsia="宋体..閰繷." w:cs="Times New Roman" w:hint="eastAsia"/>
          <w:szCs w:val="18"/>
        </w:rPr>
        <w:t>政企客户达到</w:t>
      </w:r>
      <w:r w:rsidR="005C7278" w:rsidRPr="005C7278">
        <w:rPr>
          <w:rFonts w:eastAsia="宋体..閰繷." w:cs="Times New Roman" w:hint="eastAsia"/>
          <w:szCs w:val="18"/>
        </w:rPr>
        <w:t>2,320</w:t>
      </w:r>
      <w:r w:rsidR="005C7278" w:rsidRPr="005C7278">
        <w:rPr>
          <w:rFonts w:eastAsia="宋体..閰繷." w:cs="Times New Roman" w:hint="eastAsia"/>
          <w:szCs w:val="18"/>
        </w:rPr>
        <w:t>万家，净增</w:t>
      </w:r>
      <w:r w:rsidR="005C7278" w:rsidRPr="005C7278">
        <w:rPr>
          <w:rFonts w:eastAsia="宋体..閰繷." w:cs="Times New Roman" w:hint="eastAsia"/>
          <w:szCs w:val="18"/>
        </w:rPr>
        <w:t>437</w:t>
      </w:r>
      <w:r w:rsidR="005C7278" w:rsidRPr="005C7278">
        <w:rPr>
          <w:rFonts w:eastAsia="宋体..閰繷." w:cs="Times New Roman" w:hint="eastAsia"/>
          <w:szCs w:val="18"/>
        </w:rPr>
        <w:t>万家。</w:t>
      </w:r>
      <w:r w:rsidR="00AF3C61">
        <w:rPr>
          <w:rFonts w:eastAsia="宋体..閰繷." w:cs="Times New Roman" w:hint="eastAsia"/>
          <w:szCs w:val="18"/>
        </w:rPr>
        <w:t>公司强化“网</w:t>
      </w:r>
      <w:r w:rsidR="00AF3C61">
        <w:rPr>
          <w:rFonts w:eastAsia="宋体..閰繷." w:cs="Times New Roman" w:hint="eastAsia"/>
          <w:szCs w:val="18"/>
        </w:rPr>
        <w:t>+</w:t>
      </w:r>
      <w:r w:rsidR="00AF3C61">
        <w:rPr>
          <w:rFonts w:eastAsia="宋体..閰繷." w:cs="Times New Roman" w:hint="eastAsia"/>
          <w:szCs w:val="18"/>
        </w:rPr>
        <w:t>云</w:t>
      </w:r>
      <w:r w:rsidR="00AF3C61">
        <w:rPr>
          <w:rFonts w:eastAsia="宋体..閰繷." w:cs="Times New Roman" w:hint="eastAsia"/>
          <w:szCs w:val="18"/>
        </w:rPr>
        <w:t>+</w:t>
      </w:r>
      <w:r w:rsidR="00AF3C61">
        <w:rPr>
          <w:rFonts w:eastAsia="宋体..閰繷." w:cs="Times New Roman"/>
          <w:szCs w:val="18"/>
        </w:rPr>
        <w:t>DICT</w:t>
      </w:r>
      <w:r w:rsidR="00AF3C61">
        <w:rPr>
          <w:rFonts w:eastAsia="宋体..閰繷." w:cs="Times New Roman" w:hint="eastAsia"/>
          <w:szCs w:val="18"/>
        </w:rPr>
        <w:t>”一体化拓展，云、</w:t>
      </w:r>
      <w:r w:rsidR="00AF3C61">
        <w:rPr>
          <w:rFonts w:eastAsia="宋体..閰繷." w:cs="Times New Roman" w:hint="eastAsia"/>
          <w:szCs w:val="18"/>
        </w:rPr>
        <w:t>5</w:t>
      </w:r>
      <w:r w:rsidR="00AF3C61">
        <w:rPr>
          <w:rFonts w:eastAsia="宋体..閰繷." w:cs="Times New Roman"/>
          <w:szCs w:val="18"/>
        </w:rPr>
        <w:t>G</w:t>
      </w:r>
      <w:r w:rsidR="00AF3C61">
        <w:rPr>
          <w:rFonts w:eastAsia="宋体..閰繷." w:cs="Times New Roman" w:hint="eastAsia"/>
          <w:szCs w:val="18"/>
        </w:rPr>
        <w:t>双引擎取得新成绩。</w:t>
      </w:r>
      <w:r w:rsidR="00CB6DA0">
        <w:rPr>
          <w:rFonts w:eastAsia="宋体..閰繷." w:cs="Times New Roman" w:hint="eastAsia"/>
          <w:szCs w:val="18"/>
        </w:rPr>
        <w:t>移动云收入达到</w:t>
      </w:r>
      <w:r w:rsidR="00CB6DA0">
        <w:rPr>
          <w:rFonts w:eastAsia="宋体..閰繷." w:cs="Times New Roman" w:hint="eastAsia"/>
          <w:szCs w:val="18"/>
        </w:rPr>
        <w:t>5</w:t>
      </w:r>
      <w:r w:rsidR="00CB6DA0">
        <w:rPr>
          <w:rFonts w:eastAsia="宋体..閰繷." w:cs="Times New Roman"/>
          <w:szCs w:val="18"/>
        </w:rPr>
        <w:t>03</w:t>
      </w:r>
      <w:r w:rsidR="00CB6DA0">
        <w:rPr>
          <w:rFonts w:eastAsia="宋体..閰繷." w:cs="Times New Roman" w:hint="eastAsia"/>
          <w:szCs w:val="18"/>
        </w:rPr>
        <w:t>亿元，同比增长</w:t>
      </w:r>
      <w:r w:rsidR="00CB6DA0">
        <w:rPr>
          <w:rFonts w:eastAsia="宋体..閰繷." w:cs="Times New Roman" w:hint="eastAsia"/>
          <w:szCs w:val="18"/>
        </w:rPr>
        <w:t>1</w:t>
      </w:r>
      <w:r w:rsidR="00CB6DA0">
        <w:rPr>
          <w:rFonts w:eastAsia="宋体..閰繷." w:cs="Times New Roman"/>
          <w:szCs w:val="18"/>
        </w:rPr>
        <w:t>08.1%</w:t>
      </w:r>
      <w:r w:rsidR="00CB6DA0">
        <w:rPr>
          <w:rFonts w:eastAsia="宋体..閰繷." w:cs="Times New Roman" w:hint="eastAsia"/>
          <w:szCs w:val="18"/>
        </w:rPr>
        <w:t>，</w:t>
      </w:r>
      <w:r w:rsidR="006B6E17">
        <w:rPr>
          <w:rFonts w:eastAsia="宋体..閰繷." w:cs="Times New Roman" w:hint="eastAsia"/>
          <w:szCs w:val="18"/>
        </w:rPr>
        <w:t>云计算操作系统等</w:t>
      </w:r>
      <w:r w:rsidR="00CB6DA0" w:rsidRPr="00CB6DA0">
        <w:rPr>
          <w:rFonts w:eastAsia="宋体..閰繷." w:cs="Times New Roman" w:hint="eastAsia"/>
          <w:szCs w:val="18"/>
        </w:rPr>
        <w:t>关键核心技术自主创新重大突破</w:t>
      </w:r>
      <w:r w:rsidR="006B6E17">
        <w:rPr>
          <w:rFonts w:eastAsia="宋体..閰繷." w:cs="Times New Roman" w:hint="eastAsia"/>
          <w:szCs w:val="18"/>
        </w:rPr>
        <w:t>，</w:t>
      </w:r>
      <w:r w:rsidR="006B6E17" w:rsidRPr="006B6E17">
        <w:rPr>
          <w:rFonts w:eastAsia="宋体..閰繷." w:cs="Times New Roman" w:hint="eastAsia"/>
          <w:szCs w:val="18"/>
        </w:rPr>
        <w:t>综合实力迈入国内业界第一</w:t>
      </w:r>
      <w:r w:rsidR="006B6E17">
        <w:rPr>
          <w:rFonts w:eastAsia="宋体..閰繷." w:cs="Times New Roman" w:hint="eastAsia"/>
          <w:szCs w:val="18"/>
        </w:rPr>
        <w:t>阵</w:t>
      </w:r>
      <w:r w:rsidR="006B6E17" w:rsidRPr="006B6E17">
        <w:rPr>
          <w:rFonts w:eastAsia="宋体..閰繷." w:cs="Times New Roman" w:hint="eastAsia"/>
          <w:szCs w:val="18"/>
        </w:rPr>
        <w:t>营。截至</w:t>
      </w:r>
      <w:r w:rsidR="006B6E17" w:rsidRPr="006B6E17">
        <w:rPr>
          <w:rFonts w:eastAsia="宋体..閰繷." w:cs="Times New Roman" w:hint="eastAsia"/>
          <w:szCs w:val="18"/>
        </w:rPr>
        <w:t>2022</w:t>
      </w:r>
      <w:r w:rsidR="006B6E17" w:rsidRPr="006B6E17">
        <w:rPr>
          <w:rFonts w:eastAsia="宋体..閰繷." w:cs="Times New Roman" w:hint="eastAsia"/>
          <w:szCs w:val="18"/>
        </w:rPr>
        <w:t>年</w:t>
      </w:r>
      <w:r w:rsidR="006B6E17" w:rsidRPr="006B6E17">
        <w:rPr>
          <w:rFonts w:eastAsia="宋体..閰繷." w:cs="Times New Roman" w:hint="eastAsia"/>
          <w:szCs w:val="18"/>
        </w:rPr>
        <w:t>12</w:t>
      </w:r>
      <w:r w:rsidR="006B6E17" w:rsidRPr="006B6E17">
        <w:rPr>
          <w:rFonts w:eastAsia="宋体..閰繷." w:cs="Times New Roman" w:hint="eastAsia"/>
          <w:szCs w:val="18"/>
        </w:rPr>
        <w:t>月底，</w:t>
      </w:r>
      <w:r w:rsidR="006B6E17">
        <w:rPr>
          <w:rFonts w:eastAsia="宋体..閰繷." w:cs="Times New Roman" w:hint="eastAsia"/>
          <w:szCs w:val="18"/>
        </w:rPr>
        <w:t>公司</w:t>
      </w:r>
      <w:r w:rsidR="006B6E17" w:rsidRPr="006B6E17">
        <w:rPr>
          <w:rFonts w:eastAsia="宋体..閰繷." w:cs="Times New Roman" w:hint="eastAsia"/>
          <w:szCs w:val="18"/>
        </w:rPr>
        <w:t>签约云大单超</w:t>
      </w:r>
      <w:r w:rsidR="006B6E17" w:rsidRPr="006B6E17">
        <w:rPr>
          <w:rFonts w:eastAsia="宋体..閰繷." w:cs="Times New Roman" w:hint="eastAsia"/>
          <w:szCs w:val="18"/>
        </w:rPr>
        <w:t>6,200</w:t>
      </w:r>
      <w:r w:rsidR="006B6E17" w:rsidRPr="006B6E17">
        <w:rPr>
          <w:rFonts w:eastAsia="宋体..閰繷." w:cs="Times New Roman" w:hint="eastAsia"/>
          <w:szCs w:val="18"/>
        </w:rPr>
        <w:t>个，拉动收入超</w:t>
      </w:r>
      <w:r w:rsidR="006B6E17" w:rsidRPr="006B6E17">
        <w:rPr>
          <w:rFonts w:eastAsia="宋体..閰繷." w:cs="Times New Roman" w:hint="eastAsia"/>
          <w:szCs w:val="18"/>
        </w:rPr>
        <w:t>225</w:t>
      </w:r>
      <w:r w:rsidR="006B6E17" w:rsidRPr="006B6E17">
        <w:rPr>
          <w:rFonts w:eastAsia="宋体..閰繷." w:cs="Times New Roman" w:hint="eastAsia"/>
          <w:szCs w:val="18"/>
        </w:rPr>
        <w:t>亿元，</w:t>
      </w:r>
      <w:r w:rsidR="006B6E17">
        <w:rPr>
          <w:rFonts w:eastAsia="宋体..閰繷." w:cs="Times New Roman" w:hint="eastAsia"/>
          <w:szCs w:val="18"/>
        </w:rPr>
        <w:t>其中</w:t>
      </w:r>
      <w:r w:rsidR="006B6E17" w:rsidRPr="006B6E17">
        <w:rPr>
          <w:rFonts w:eastAsia="宋体..閰繷." w:cs="Times New Roman" w:hint="eastAsia"/>
          <w:szCs w:val="18"/>
        </w:rPr>
        <w:t>央企国企上云项</w:t>
      </w:r>
      <w:r w:rsidR="006B6E17">
        <w:rPr>
          <w:rFonts w:eastAsia="宋体..閰繷." w:cs="Times New Roman" w:hint="eastAsia"/>
          <w:szCs w:val="18"/>
        </w:rPr>
        <w:t>目</w:t>
      </w:r>
      <w:r w:rsidR="006B6E17" w:rsidRPr="006B6E17">
        <w:rPr>
          <w:rFonts w:eastAsia="宋体..閰繷." w:cs="Times New Roman" w:hint="eastAsia"/>
          <w:szCs w:val="18"/>
        </w:rPr>
        <w:t>超</w:t>
      </w:r>
      <w:r w:rsidR="006B6E17" w:rsidRPr="006B6E17">
        <w:rPr>
          <w:rFonts w:eastAsia="宋体..閰繷." w:cs="Times New Roman" w:hint="eastAsia"/>
          <w:szCs w:val="18"/>
        </w:rPr>
        <w:t>3,700</w:t>
      </w:r>
      <w:r w:rsidR="006B6E17" w:rsidRPr="006B6E17">
        <w:rPr>
          <w:rFonts w:eastAsia="宋体..閰繷." w:cs="Times New Roman" w:hint="eastAsia"/>
          <w:szCs w:val="18"/>
        </w:rPr>
        <w:t>个</w:t>
      </w:r>
      <w:r w:rsidR="006B6E17">
        <w:rPr>
          <w:rFonts w:eastAsia="宋体..閰繷." w:cs="Times New Roman" w:hint="eastAsia"/>
          <w:szCs w:val="18"/>
        </w:rPr>
        <w:t>。公司</w:t>
      </w:r>
      <w:r w:rsidR="006B6E17" w:rsidRPr="006B6E17">
        <w:rPr>
          <w:rFonts w:eastAsia="宋体..閰繷." w:cs="Times New Roman" w:hint="eastAsia"/>
          <w:szCs w:val="18"/>
        </w:rPr>
        <w:t>加快</w:t>
      </w:r>
      <w:r w:rsidR="006B6E17" w:rsidRPr="006B6E17">
        <w:rPr>
          <w:rFonts w:eastAsia="宋体..閰繷." w:cs="Times New Roman" w:hint="eastAsia"/>
          <w:szCs w:val="18"/>
        </w:rPr>
        <w:t>5G</w:t>
      </w:r>
      <w:r w:rsidR="006B6E17" w:rsidRPr="006B6E17">
        <w:rPr>
          <w:rFonts w:eastAsia="宋体..閰繷." w:cs="Times New Roman" w:hint="eastAsia"/>
          <w:szCs w:val="18"/>
        </w:rPr>
        <w:t>赋能百业数智化升级，推动</w:t>
      </w:r>
      <w:r w:rsidR="006B6E17" w:rsidRPr="006B6E17">
        <w:rPr>
          <w:rFonts w:eastAsia="宋体..閰繷." w:cs="Times New Roman" w:hint="eastAsia"/>
          <w:szCs w:val="18"/>
        </w:rPr>
        <w:t>5G</w:t>
      </w:r>
      <w:r w:rsidR="006B6E17" w:rsidRPr="006B6E17">
        <w:rPr>
          <w:rFonts w:eastAsia="宋体..閰繷." w:cs="Times New Roman" w:hint="eastAsia"/>
          <w:szCs w:val="18"/>
        </w:rPr>
        <w:t>专网实现全面产品化，</w:t>
      </w:r>
      <w:r w:rsidR="006B6E17" w:rsidRPr="006B6E17">
        <w:rPr>
          <w:rFonts w:eastAsia="宋体..閰繷." w:cs="Times New Roman" w:hint="eastAsia"/>
          <w:szCs w:val="18"/>
        </w:rPr>
        <w:t>5G</w:t>
      </w:r>
      <w:r w:rsidR="006B6E17">
        <w:rPr>
          <w:rFonts w:eastAsia="宋体..閰繷." w:cs="Times New Roman" w:hint="eastAsia"/>
          <w:szCs w:val="18"/>
        </w:rPr>
        <w:t>专网收入达到</w:t>
      </w:r>
      <w:r w:rsidR="000620FA">
        <w:rPr>
          <w:rFonts w:eastAsia="宋体..閰繷." w:cs="Times New Roman" w:hint="eastAsia"/>
          <w:szCs w:val="18"/>
        </w:rPr>
        <w:t>2</w:t>
      </w:r>
      <w:r w:rsidR="006B6E17" w:rsidRPr="006B6E17">
        <w:rPr>
          <w:rFonts w:eastAsia="宋体..閰繷." w:cs="Times New Roman" w:hint="eastAsia"/>
          <w:szCs w:val="18"/>
        </w:rPr>
        <w:t>5.5</w:t>
      </w:r>
      <w:r w:rsidR="006B6E17" w:rsidRPr="006B6E17">
        <w:rPr>
          <w:rFonts w:eastAsia="宋体..閰繷." w:cs="Times New Roman" w:hint="eastAsia"/>
          <w:szCs w:val="18"/>
        </w:rPr>
        <w:t>亿元，同</w:t>
      </w:r>
      <w:r w:rsidR="006B6E17">
        <w:rPr>
          <w:rFonts w:eastAsia="宋体..閰繷." w:cs="Times New Roman" w:hint="eastAsia"/>
          <w:szCs w:val="18"/>
        </w:rPr>
        <w:t>比增长</w:t>
      </w:r>
      <w:r w:rsidR="006B6E17">
        <w:rPr>
          <w:rFonts w:eastAsia="宋体..閰繷." w:cs="Times New Roman" w:hint="eastAsia"/>
          <w:szCs w:val="18"/>
        </w:rPr>
        <w:t>1</w:t>
      </w:r>
      <w:r w:rsidR="006B6E17">
        <w:rPr>
          <w:rFonts w:eastAsia="宋体..閰繷." w:cs="Times New Roman"/>
          <w:szCs w:val="18"/>
        </w:rPr>
        <w:t>07.4%</w:t>
      </w:r>
      <w:r w:rsidR="006B6E17">
        <w:rPr>
          <w:rFonts w:eastAsia="宋体..閰繷." w:cs="Times New Roman"/>
          <w:szCs w:val="18"/>
        </w:rPr>
        <w:t>，</w:t>
      </w:r>
      <w:r w:rsidR="006B6E17">
        <w:rPr>
          <w:rFonts w:eastAsia="宋体..閰繷." w:cs="Times New Roman" w:hint="eastAsia"/>
          <w:szCs w:val="18"/>
        </w:rPr>
        <w:t>在</w:t>
      </w:r>
      <w:r w:rsidR="006B6E17" w:rsidRPr="006B6E17">
        <w:rPr>
          <w:rFonts w:eastAsia="宋体..閰繷." w:cs="Times New Roman" w:hint="eastAsia"/>
          <w:szCs w:val="18"/>
        </w:rPr>
        <w:t>智慧矿山、智慧工厂、智慧电力、智慧医院、智慧城市、自动驾驶等多个细分行业实现业内领先</w:t>
      </w:r>
      <w:r w:rsidR="006B6E17">
        <w:rPr>
          <w:rFonts w:eastAsia="宋体..閰繷." w:cs="Times New Roman" w:hint="eastAsia"/>
          <w:szCs w:val="18"/>
        </w:rPr>
        <w:t>。</w:t>
      </w:r>
    </w:p>
    <w:p w14:paraId="0D20EAB3" w14:textId="380D0CC9" w:rsidR="00A16FB1" w:rsidRDefault="00A16FB1" w:rsidP="00A16FB1">
      <w:pPr>
        <w:spacing w:beforeLines="50" w:before="120" w:afterLines="50" w:after="120" w:line="276" w:lineRule="auto"/>
        <w:jc w:val="both"/>
        <w:rPr>
          <w:rFonts w:eastAsia="宋体..閰繷." w:cs="Times New Roman"/>
          <w:szCs w:val="18"/>
        </w:rPr>
      </w:pPr>
      <w:r>
        <w:rPr>
          <w:rFonts w:eastAsia="宋体..閰繷." w:cs="Times New Roman"/>
          <w:szCs w:val="18"/>
        </w:rPr>
        <w:t>4</w:t>
      </w:r>
      <w:r>
        <w:rPr>
          <w:rFonts w:eastAsia="宋体..閰繷." w:cs="Times New Roman" w:hint="eastAsia"/>
          <w:szCs w:val="18"/>
        </w:rPr>
        <w:t>、</w:t>
      </w:r>
      <w:r w:rsidR="001D124B">
        <w:rPr>
          <w:rFonts w:eastAsia="宋体..閰繷." w:cs="Times New Roman" w:hint="eastAsia"/>
          <w:szCs w:val="18"/>
        </w:rPr>
        <w:t>新兴</w:t>
      </w:r>
      <w:r>
        <w:rPr>
          <w:rFonts w:eastAsia="宋体..閰繷." w:cs="Times New Roman" w:hint="eastAsia"/>
          <w:szCs w:val="18"/>
        </w:rPr>
        <w:t>市场业务</w:t>
      </w:r>
      <w:r w:rsidR="001D124B">
        <w:rPr>
          <w:rFonts w:eastAsia="宋体..閰繷." w:cs="Times New Roman" w:hint="eastAsia"/>
          <w:szCs w:val="18"/>
        </w:rPr>
        <w:t>各板块协同发展</w:t>
      </w:r>
      <w:r>
        <w:rPr>
          <w:rFonts w:eastAsia="宋体..閰繷." w:cs="Times New Roman" w:hint="eastAsia"/>
          <w:szCs w:val="18"/>
        </w:rPr>
        <w:t>，</w:t>
      </w:r>
      <w:r w:rsidR="001D124B">
        <w:rPr>
          <w:rFonts w:eastAsia="宋体..閰繷." w:cs="Times New Roman" w:hint="eastAsia"/>
          <w:szCs w:val="18"/>
        </w:rPr>
        <w:t>实现高速增长</w:t>
      </w:r>
      <w:r>
        <w:rPr>
          <w:rFonts w:eastAsia="宋体..閰繷." w:cs="Times New Roman" w:hint="eastAsia"/>
          <w:szCs w:val="18"/>
        </w:rPr>
        <w:t>。</w:t>
      </w:r>
    </w:p>
    <w:p w14:paraId="6E4B1B34" w14:textId="562A73D4" w:rsidR="00A16FB1" w:rsidRPr="001D124B" w:rsidRDefault="001D124B" w:rsidP="001D124B">
      <w:pPr>
        <w:spacing w:beforeLines="50" w:before="120" w:afterLines="50" w:after="120" w:line="276" w:lineRule="auto"/>
        <w:rPr>
          <w:rFonts w:eastAsia="宋体..閰繷." w:cs="Times New Roman"/>
          <w:szCs w:val="18"/>
        </w:rPr>
      </w:pPr>
      <w:r>
        <w:rPr>
          <w:rFonts w:eastAsia="宋体..閰繷." w:cs="Times New Roman" w:hint="eastAsia"/>
          <w:szCs w:val="18"/>
        </w:rPr>
        <w:t>2</w:t>
      </w:r>
      <w:r>
        <w:rPr>
          <w:rFonts w:eastAsia="宋体..閰繷." w:cs="Times New Roman"/>
          <w:szCs w:val="18"/>
        </w:rPr>
        <w:t>022</w:t>
      </w:r>
      <w:r>
        <w:rPr>
          <w:rFonts w:eastAsia="宋体..閰繷." w:cs="Times New Roman" w:hint="eastAsia"/>
          <w:szCs w:val="18"/>
        </w:rPr>
        <w:t>年，公司新业务市场</w:t>
      </w:r>
      <w:r w:rsidRPr="001D124B">
        <w:rPr>
          <w:rFonts w:eastAsia="宋体..閰繷." w:cs="Times New Roman" w:hint="eastAsia"/>
          <w:szCs w:val="18"/>
        </w:rPr>
        <w:t>统筹国际业务、股权投资、数字内容、金融科技四大板块</w:t>
      </w:r>
      <w:r>
        <w:rPr>
          <w:rFonts w:eastAsia="宋体..閰繷." w:cs="Times New Roman" w:hint="eastAsia"/>
          <w:szCs w:val="18"/>
        </w:rPr>
        <w:t>协同发展，收入达到</w:t>
      </w:r>
      <w:r>
        <w:rPr>
          <w:rFonts w:eastAsia="宋体..閰繷." w:cs="Times New Roman" w:hint="eastAsia"/>
          <w:szCs w:val="18"/>
        </w:rPr>
        <w:t>3</w:t>
      </w:r>
      <w:r>
        <w:rPr>
          <w:rFonts w:eastAsia="宋体..閰繷." w:cs="Times New Roman"/>
          <w:szCs w:val="18"/>
        </w:rPr>
        <w:t>85</w:t>
      </w:r>
      <w:r>
        <w:rPr>
          <w:rFonts w:eastAsia="宋体..閰繷." w:cs="Times New Roman" w:hint="eastAsia"/>
          <w:szCs w:val="18"/>
        </w:rPr>
        <w:t>亿元，同比增长</w:t>
      </w:r>
      <w:r>
        <w:rPr>
          <w:rFonts w:eastAsia="宋体..閰繷." w:cs="Times New Roman" w:hint="eastAsia"/>
          <w:szCs w:val="18"/>
        </w:rPr>
        <w:t>2</w:t>
      </w:r>
      <w:r>
        <w:rPr>
          <w:rFonts w:eastAsia="宋体..閰繷." w:cs="Times New Roman"/>
          <w:szCs w:val="18"/>
        </w:rPr>
        <w:t>6.9%</w:t>
      </w:r>
      <w:r>
        <w:rPr>
          <w:rFonts w:eastAsia="宋体..閰繷." w:cs="Times New Roman" w:hint="eastAsia"/>
          <w:szCs w:val="18"/>
        </w:rPr>
        <w:t>。</w:t>
      </w:r>
      <w:r w:rsidRPr="001D124B">
        <w:rPr>
          <w:rFonts w:eastAsia="宋体..閰繷." w:cs="Times New Roman" w:hint="eastAsia"/>
          <w:szCs w:val="18"/>
        </w:rPr>
        <w:t>公司加快推动优质成熟能力出海</w:t>
      </w:r>
      <w:r>
        <w:rPr>
          <w:rFonts w:eastAsia="宋体..閰繷." w:cs="Times New Roman" w:hint="eastAsia"/>
          <w:szCs w:val="18"/>
        </w:rPr>
        <w:t>，国际业务收入达</w:t>
      </w:r>
      <w:r>
        <w:rPr>
          <w:rFonts w:eastAsia="宋体..閰繷." w:cs="Times New Roman" w:hint="eastAsia"/>
          <w:szCs w:val="18"/>
        </w:rPr>
        <w:t>1</w:t>
      </w:r>
      <w:r>
        <w:rPr>
          <w:rFonts w:eastAsia="宋体..閰繷." w:cs="Times New Roman"/>
          <w:szCs w:val="18"/>
        </w:rPr>
        <w:t>67</w:t>
      </w:r>
      <w:r>
        <w:rPr>
          <w:rFonts w:eastAsia="宋体..閰繷." w:cs="Times New Roman" w:hint="eastAsia"/>
          <w:szCs w:val="18"/>
        </w:rPr>
        <w:t>亿元，同比增长</w:t>
      </w:r>
      <w:r>
        <w:rPr>
          <w:rFonts w:eastAsia="宋体..閰繷." w:cs="Times New Roman" w:hint="eastAsia"/>
          <w:szCs w:val="18"/>
        </w:rPr>
        <w:t>2</w:t>
      </w:r>
      <w:r>
        <w:rPr>
          <w:rFonts w:eastAsia="宋体..閰繷." w:cs="Times New Roman"/>
          <w:szCs w:val="18"/>
        </w:rPr>
        <w:t>5.4%</w:t>
      </w:r>
      <w:r>
        <w:rPr>
          <w:rFonts w:eastAsia="宋体..閰繷." w:cs="Times New Roman" w:hint="eastAsia"/>
          <w:szCs w:val="18"/>
        </w:rPr>
        <w:t>。</w:t>
      </w:r>
      <w:r w:rsidRPr="001D124B">
        <w:rPr>
          <w:rFonts w:eastAsia="宋体..閰繷." w:cs="Times New Roman" w:hint="eastAsia"/>
          <w:szCs w:val="18"/>
        </w:rPr>
        <w:t>数字内容收入达到</w:t>
      </w:r>
      <w:r>
        <w:rPr>
          <w:rFonts w:eastAsia="宋体..閰繷." w:cs="Times New Roman" w:hint="eastAsia"/>
          <w:szCs w:val="18"/>
        </w:rPr>
        <w:t>213</w:t>
      </w:r>
      <w:r>
        <w:rPr>
          <w:rFonts w:eastAsia="宋体..閰繷." w:cs="Times New Roman" w:hint="eastAsia"/>
          <w:szCs w:val="18"/>
        </w:rPr>
        <w:t>亿元，同比增长</w:t>
      </w:r>
      <w:r w:rsidRPr="001D124B">
        <w:rPr>
          <w:rFonts w:eastAsia="宋体..閰繷." w:cs="Times New Roman" w:hint="eastAsia"/>
          <w:szCs w:val="18"/>
        </w:rPr>
        <w:t>27.2%</w:t>
      </w:r>
      <w:r>
        <w:rPr>
          <w:rFonts w:eastAsia="宋体..閰繷." w:cs="Times New Roman" w:hint="eastAsia"/>
          <w:szCs w:val="18"/>
        </w:rPr>
        <w:t>，</w:t>
      </w:r>
      <w:r w:rsidRPr="001D124B">
        <w:rPr>
          <w:rFonts w:eastAsia="宋体..閰繷." w:cs="Times New Roman" w:hint="eastAsia"/>
          <w:szCs w:val="18"/>
        </w:rPr>
        <w:t>咪咕视频全场景月活跃客户同比增长</w:t>
      </w:r>
      <w:r w:rsidRPr="001D124B">
        <w:rPr>
          <w:rFonts w:eastAsia="宋体..閰繷." w:cs="Times New Roman" w:hint="eastAsia"/>
          <w:szCs w:val="18"/>
        </w:rPr>
        <w:t>67.1%</w:t>
      </w:r>
      <w:r w:rsidRPr="001D124B">
        <w:rPr>
          <w:rFonts w:eastAsia="宋体..閰繷." w:cs="Times New Roman" w:hint="eastAsia"/>
          <w:szCs w:val="18"/>
        </w:rPr>
        <w:t>，云游戏全场景月活跃用户同比增长</w:t>
      </w:r>
      <w:r w:rsidRPr="001D124B">
        <w:rPr>
          <w:rFonts w:eastAsia="宋体..閰繷." w:cs="Times New Roman" w:hint="eastAsia"/>
          <w:szCs w:val="18"/>
        </w:rPr>
        <w:t>29.2%</w:t>
      </w:r>
      <w:r w:rsidR="00AC4A83">
        <w:rPr>
          <w:rFonts w:eastAsia="宋体..閰繷." w:cs="Times New Roman" w:hint="eastAsia"/>
          <w:szCs w:val="18"/>
        </w:rPr>
        <w:t>。</w:t>
      </w:r>
      <w:r w:rsidR="00BB6164" w:rsidRPr="00BB6164">
        <w:rPr>
          <w:rFonts w:eastAsia="宋体..閰繷." w:cs="Times New Roman" w:hint="eastAsia"/>
          <w:szCs w:val="18"/>
        </w:rPr>
        <w:t>金融科技以场景和数据为驱动，大力推动产业链金融快速发展，全年业务规模超</w:t>
      </w:r>
      <w:r w:rsidR="00BB6164" w:rsidRPr="00BB6164">
        <w:rPr>
          <w:rFonts w:eastAsia="宋体..閰繷." w:cs="Times New Roman" w:hint="eastAsia"/>
          <w:szCs w:val="18"/>
        </w:rPr>
        <w:t>500</w:t>
      </w:r>
      <w:r w:rsidR="00BB6164" w:rsidRPr="00BB6164">
        <w:rPr>
          <w:rFonts w:eastAsia="宋体..閰繷." w:cs="Times New Roman" w:hint="eastAsia"/>
          <w:szCs w:val="18"/>
        </w:rPr>
        <w:t>亿元</w:t>
      </w:r>
      <w:r w:rsidR="00BB6164">
        <w:rPr>
          <w:rFonts w:eastAsia="宋体..閰繷." w:cs="Times New Roman" w:hint="eastAsia"/>
          <w:szCs w:val="18"/>
        </w:rPr>
        <w:t>。</w:t>
      </w:r>
    </w:p>
    <w:p w14:paraId="0C528D1A" w14:textId="397635F9" w:rsidR="000620FA" w:rsidRDefault="00F05F76" w:rsidP="001523F5">
      <w:pPr>
        <w:spacing w:beforeLines="50" w:before="120" w:afterLines="50" w:after="120" w:line="276" w:lineRule="auto"/>
        <w:rPr>
          <w:rFonts w:eastAsia="宋体..閰繷." w:cs="Times New Roman"/>
          <w:szCs w:val="18"/>
        </w:rPr>
      </w:pPr>
      <w:r>
        <w:rPr>
          <w:rFonts w:eastAsia="宋体..閰繷." w:cs="Times New Roman" w:hint="eastAsia"/>
          <w:szCs w:val="18"/>
        </w:rPr>
        <w:t>公司</w:t>
      </w:r>
      <w:r w:rsidRPr="00F05F76">
        <w:rPr>
          <w:rFonts w:eastAsia="宋体..閰繷." w:cs="Times New Roman" w:hint="eastAsia"/>
          <w:szCs w:val="18"/>
        </w:rPr>
        <w:t>加快推动业务创新从连接为主向“连接</w:t>
      </w:r>
      <w:r w:rsidRPr="00F05F76">
        <w:rPr>
          <w:rFonts w:eastAsia="宋体..閰繷." w:cs="Times New Roman" w:hint="eastAsia"/>
          <w:szCs w:val="18"/>
        </w:rPr>
        <w:t>+</w:t>
      </w:r>
      <w:r w:rsidRPr="00F05F76">
        <w:rPr>
          <w:rFonts w:eastAsia="宋体..閰繷." w:cs="Times New Roman" w:hint="eastAsia"/>
          <w:szCs w:val="18"/>
        </w:rPr>
        <w:t>算力</w:t>
      </w:r>
      <w:r w:rsidRPr="00F05F76">
        <w:rPr>
          <w:rFonts w:eastAsia="宋体..閰繷." w:cs="Times New Roman" w:hint="eastAsia"/>
          <w:szCs w:val="18"/>
        </w:rPr>
        <w:t>+</w:t>
      </w:r>
      <w:r w:rsidRPr="00F05F76">
        <w:rPr>
          <w:rFonts w:eastAsia="宋体..閰繷." w:cs="Times New Roman" w:hint="eastAsia"/>
          <w:szCs w:val="18"/>
        </w:rPr>
        <w:t>能力”融合转变，</w:t>
      </w:r>
      <w:r>
        <w:rPr>
          <w:rFonts w:eastAsia="宋体..閰繷." w:cs="Times New Roman" w:hint="eastAsia"/>
          <w:szCs w:val="18"/>
        </w:rPr>
        <w:t>2</w:t>
      </w:r>
      <w:r>
        <w:rPr>
          <w:rFonts w:eastAsia="宋体..閰繷." w:cs="Times New Roman"/>
          <w:szCs w:val="18"/>
        </w:rPr>
        <w:t>022</w:t>
      </w:r>
      <w:r>
        <w:rPr>
          <w:rFonts w:eastAsia="宋体..閰繷." w:cs="Times New Roman" w:hint="eastAsia"/>
          <w:szCs w:val="18"/>
        </w:rPr>
        <w:t>年</w:t>
      </w:r>
      <w:r w:rsidRPr="00F05F76">
        <w:rPr>
          <w:rFonts w:eastAsia="宋体..閰繷." w:cs="Times New Roman" w:hint="eastAsia"/>
          <w:szCs w:val="18"/>
        </w:rPr>
        <w:t>数字化转型</w:t>
      </w:r>
      <w:r>
        <w:rPr>
          <w:rFonts w:eastAsia="宋体..閰繷." w:cs="Times New Roman" w:hint="eastAsia"/>
          <w:szCs w:val="18"/>
        </w:rPr>
        <w:t>收入达</w:t>
      </w:r>
      <w:r>
        <w:rPr>
          <w:rFonts w:eastAsia="宋体..閰繷." w:cs="Times New Roman" w:hint="eastAsia"/>
          <w:szCs w:val="18"/>
        </w:rPr>
        <w:t>2,0</w:t>
      </w:r>
      <w:r>
        <w:rPr>
          <w:rFonts w:eastAsia="宋体..閰繷." w:cs="Times New Roman"/>
          <w:szCs w:val="18"/>
        </w:rPr>
        <w:t>76</w:t>
      </w:r>
      <w:r>
        <w:rPr>
          <w:rFonts w:eastAsia="宋体..閰繷." w:cs="Times New Roman" w:hint="eastAsia"/>
          <w:szCs w:val="18"/>
        </w:rPr>
        <w:t>亿元，同比增长</w:t>
      </w:r>
      <w:r>
        <w:rPr>
          <w:rFonts w:eastAsia="宋体..閰繷." w:cs="Times New Roman" w:hint="eastAsia"/>
          <w:szCs w:val="18"/>
        </w:rPr>
        <w:t>3</w:t>
      </w:r>
      <w:r>
        <w:rPr>
          <w:rFonts w:eastAsia="宋体..閰繷." w:cs="Times New Roman"/>
          <w:szCs w:val="18"/>
        </w:rPr>
        <w:t>0.3%</w:t>
      </w:r>
      <w:r>
        <w:rPr>
          <w:rFonts w:eastAsia="宋体..閰繷." w:cs="Times New Roman" w:hint="eastAsia"/>
          <w:szCs w:val="18"/>
        </w:rPr>
        <w:t>，占</w:t>
      </w:r>
      <w:r w:rsidRPr="00F05F76">
        <w:rPr>
          <w:rFonts w:eastAsia="宋体..閰繷." w:cs="Times New Roman" w:hint="eastAsia"/>
          <w:szCs w:val="18"/>
        </w:rPr>
        <w:t>通信服务收入比提升至</w:t>
      </w:r>
      <w:r w:rsidRPr="00F05F76">
        <w:rPr>
          <w:rFonts w:eastAsia="宋体..閰繷." w:cs="Times New Roman" w:hint="eastAsia"/>
          <w:szCs w:val="18"/>
        </w:rPr>
        <w:t>25.6%</w:t>
      </w:r>
      <w:r w:rsidRPr="00F05F76">
        <w:rPr>
          <w:rFonts w:eastAsia="宋体..閰繷." w:cs="Times New Roman" w:hint="eastAsia"/>
          <w:szCs w:val="18"/>
        </w:rPr>
        <w:t>，对通信服务收入增量贡献达到</w:t>
      </w:r>
      <w:r w:rsidRPr="00F05F76">
        <w:rPr>
          <w:rFonts w:eastAsia="宋体..閰繷." w:cs="Times New Roman" w:hint="eastAsia"/>
          <w:szCs w:val="18"/>
        </w:rPr>
        <w:t>79.5%</w:t>
      </w:r>
      <w:r w:rsidR="001523F5">
        <w:rPr>
          <w:rFonts w:eastAsia="宋体..閰繷." w:cs="Times New Roman" w:hint="eastAsia"/>
          <w:szCs w:val="18"/>
        </w:rPr>
        <w:t>。</w:t>
      </w:r>
      <w:r w:rsidR="009605C0">
        <w:rPr>
          <w:rFonts w:eastAsia="宋体..閰繷." w:cs="Times New Roman" w:hint="eastAsia"/>
          <w:szCs w:val="18"/>
        </w:rPr>
        <w:t>其中，</w:t>
      </w:r>
      <w:r w:rsidRPr="00F05F76">
        <w:rPr>
          <w:rFonts w:eastAsia="宋体..閰繷." w:cs="Times New Roman" w:hint="eastAsia"/>
          <w:szCs w:val="18"/>
        </w:rPr>
        <w:t>DICT</w:t>
      </w:r>
      <w:r w:rsidRPr="00F05F76">
        <w:rPr>
          <w:rFonts w:eastAsia="宋体..閰繷." w:cs="Times New Roman" w:hint="eastAsia"/>
          <w:szCs w:val="18"/>
        </w:rPr>
        <w:t>收入同比增长</w:t>
      </w:r>
      <w:r w:rsidRPr="00F05F76">
        <w:rPr>
          <w:rFonts w:eastAsia="宋体..閰繷." w:cs="Times New Roman" w:hint="eastAsia"/>
          <w:szCs w:val="18"/>
        </w:rPr>
        <w:t>38.8%</w:t>
      </w:r>
      <w:r w:rsidRPr="00F05F76">
        <w:rPr>
          <w:rFonts w:eastAsia="宋体..閰繷." w:cs="Times New Roman" w:hint="eastAsia"/>
          <w:szCs w:val="18"/>
        </w:rPr>
        <w:t>，达到</w:t>
      </w:r>
      <w:r w:rsidRPr="00F05F76">
        <w:rPr>
          <w:rFonts w:eastAsia="宋体..閰繷." w:cs="Times New Roman" w:hint="eastAsia"/>
          <w:szCs w:val="18"/>
        </w:rPr>
        <w:t>864</w:t>
      </w:r>
      <w:r w:rsidRPr="00F05F76">
        <w:rPr>
          <w:rFonts w:eastAsia="宋体..閰繷." w:cs="Times New Roman" w:hint="eastAsia"/>
          <w:szCs w:val="18"/>
        </w:rPr>
        <w:t>亿元</w:t>
      </w:r>
      <w:r w:rsidR="009605C0">
        <w:rPr>
          <w:rFonts w:eastAsia="宋体..閰繷." w:cs="Times New Roman" w:hint="eastAsia"/>
          <w:szCs w:val="18"/>
        </w:rPr>
        <w:t>；</w:t>
      </w:r>
      <w:r w:rsidR="009605C0" w:rsidRPr="009605C0">
        <w:rPr>
          <w:rFonts w:eastAsia="宋体..閰繷." w:cs="Times New Roman" w:hint="eastAsia"/>
          <w:szCs w:val="18"/>
        </w:rPr>
        <w:t>IDC</w:t>
      </w:r>
      <w:r w:rsidR="009605C0" w:rsidRPr="009605C0">
        <w:rPr>
          <w:rFonts w:eastAsia="宋体..閰繷." w:cs="Times New Roman" w:hint="eastAsia"/>
          <w:szCs w:val="18"/>
        </w:rPr>
        <w:t>收入达到</w:t>
      </w:r>
      <w:r w:rsidR="009605C0" w:rsidRPr="009605C0">
        <w:rPr>
          <w:rFonts w:eastAsia="宋体..閰繷." w:cs="Times New Roman" w:hint="eastAsia"/>
          <w:szCs w:val="18"/>
        </w:rPr>
        <w:t>254</w:t>
      </w:r>
      <w:r w:rsidR="009605C0" w:rsidRPr="009605C0">
        <w:rPr>
          <w:rFonts w:eastAsia="宋体..閰繷." w:cs="Times New Roman" w:hint="eastAsia"/>
          <w:szCs w:val="18"/>
        </w:rPr>
        <w:t>亿元，同比增长</w:t>
      </w:r>
      <w:r w:rsidR="009605C0" w:rsidRPr="009605C0">
        <w:rPr>
          <w:rFonts w:eastAsia="宋体..閰繷." w:cs="Times New Roman" w:hint="eastAsia"/>
          <w:szCs w:val="18"/>
        </w:rPr>
        <w:t>17.2%</w:t>
      </w:r>
      <w:r w:rsidR="001523F5">
        <w:rPr>
          <w:rFonts w:eastAsia="宋体..閰繷." w:cs="Times New Roman" w:hint="eastAsia"/>
          <w:szCs w:val="18"/>
        </w:rPr>
        <w:t>。</w:t>
      </w:r>
      <w:r w:rsidR="001523F5" w:rsidRPr="001523F5">
        <w:rPr>
          <w:rFonts w:eastAsia="宋体..閰繷." w:cs="Times New Roman" w:hint="eastAsia"/>
          <w:szCs w:val="18"/>
        </w:rPr>
        <w:t>公司持续优化数据中心“</w:t>
      </w:r>
      <w:r w:rsidR="001523F5">
        <w:rPr>
          <w:rFonts w:eastAsia="宋体..閰繷." w:cs="Times New Roman" w:hint="eastAsia"/>
          <w:szCs w:val="18"/>
        </w:rPr>
        <w:t>4</w:t>
      </w:r>
      <w:r w:rsidR="001523F5" w:rsidRPr="001523F5">
        <w:rPr>
          <w:rFonts w:eastAsia="宋体..閰繷." w:cs="Times New Roman" w:hint="eastAsia"/>
          <w:szCs w:val="18"/>
        </w:rPr>
        <w:t>（热点区域）</w:t>
      </w:r>
      <w:r w:rsidR="001523F5" w:rsidRPr="001523F5">
        <w:rPr>
          <w:rFonts w:eastAsia="宋体..閰繷." w:cs="Times New Roman" w:hint="eastAsia"/>
          <w:szCs w:val="18"/>
        </w:rPr>
        <w:t>+N</w:t>
      </w:r>
      <w:r w:rsidR="001523F5" w:rsidRPr="001523F5">
        <w:rPr>
          <w:rFonts w:eastAsia="宋体..閰繷." w:cs="Times New Roman" w:hint="eastAsia"/>
          <w:szCs w:val="18"/>
        </w:rPr>
        <w:t>（中心节点）</w:t>
      </w:r>
      <w:r w:rsidR="001523F5" w:rsidRPr="001523F5">
        <w:rPr>
          <w:rFonts w:eastAsia="宋体..閰繷." w:cs="Times New Roman" w:hint="eastAsia"/>
          <w:szCs w:val="18"/>
        </w:rPr>
        <w:t>+31</w:t>
      </w:r>
      <w:r w:rsidR="001523F5" w:rsidRPr="001523F5">
        <w:rPr>
          <w:rFonts w:eastAsia="宋体..閰繷." w:cs="Times New Roman" w:hint="eastAsia"/>
          <w:szCs w:val="18"/>
        </w:rPr>
        <w:t>（省级节点）</w:t>
      </w:r>
      <w:r w:rsidR="001523F5" w:rsidRPr="001523F5">
        <w:rPr>
          <w:rFonts w:eastAsia="宋体..閰繷." w:cs="Times New Roman" w:hint="eastAsia"/>
          <w:szCs w:val="18"/>
        </w:rPr>
        <w:t>+X</w:t>
      </w:r>
      <w:r w:rsidR="00525357">
        <w:rPr>
          <w:rFonts w:eastAsia="宋体..閰繷." w:cs="Times New Roman" w:hint="eastAsia"/>
          <w:szCs w:val="18"/>
        </w:rPr>
        <w:t>（边缘节</w:t>
      </w:r>
      <w:r w:rsidR="001523F5" w:rsidRPr="001523F5">
        <w:rPr>
          <w:rFonts w:eastAsia="宋体..閰繷." w:cs="Times New Roman" w:hint="eastAsia"/>
          <w:szCs w:val="18"/>
        </w:rPr>
        <w:t>点）”布局，目前对外可提供</w:t>
      </w:r>
      <w:r w:rsidR="001523F5" w:rsidRPr="001523F5">
        <w:rPr>
          <w:rFonts w:eastAsia="宋体..閰繷." w:cs="Times New Roman" w:hint="eastAsia"/>
          <w:szCs w:val="18"/>
        </w:rPr>
        <w:t>IDC</w:t>
      </w:r>
      <w:r w:rsidR="001523F5" w:rsidRPr="001523F5">
        <w:rPr>
          <w:rFonts w:eastAsia="宋体..閰繷." w:cs="Times New Roman" w:hint="eastAsia"/>
          <w:szCs w:val="18"/>
        </w:rPr>
        <w:t>机架</w:t>
      </w:r>
      <w:r w:rsidR="001523F5" w:rsidRPr="001523F5">
        <w:rPr>
          <w:rFonts w:eastAsia="宋体..閰繷." w:cs="Times New Roman" w:hint="eastAsia"/>
          <w:szCs w:val="18"/>
        </w:rPr>
        <w:t>46.7</w:t>
      </w:r>
      <w:r w:rsidR="001523F5" w:rsidRPr="001523F5">
        <w:rPr>
          <w:rFonts w:eastAsia="宋体..閰繷." w:cs="Times New Roman" w:hint="eastAsia"/>
          <w:szCs w:val="18"/>
        </w:rPr>
        <w:t>万架，</w:t>
      </w:r>
      <w:r w:rsidR="009605C0" w:rsidRPr="009605C0">
        <w:rPr>
          <w:rFonts w:eastAsia="宋体..閰繷." w:cs="Times New Roman" w:hint="eastAsia"/>
          <w:szCs w:val="18"/>
        </w:rPr>
        <w:t>算力规模达到</w:t>
      </w:r>
      <w:r w:rsidR="009605C0" w:rsidRPr="009605C0">
        <w:rPr>
          <w:rFonts w:eastAsia="宋体..閰繷." w:cs="Times New Roman" w:hint="eastAsia"/>
          <w:szCs w:val="18"/>
        </w:rPr>
        <w:t>8.0EFLOPS</w:t>
      </w:r>
      <w:r w:rsidR="001523F5">
        <w:rPr>
          <w:rFonts w:eastAsia="宋体..閰繷." w:cs="Times New Roman" w:hint="eastAsia"/>
          <w:szCs w:val="18"/>
        </w:rPr>
        <w:t>。</w:t>
      </w:r>
    </w:p>
    <w:tbl>
      <w:tblPr>
        <w:tblW w:w="10463" w:type="dxa"/>
        <w:tblInd w:w="-2116" w:type="dxa"/>
        <w:tblLayout w:type="fixed"/>
        <w:tblLook w:val="04A0" w:firstRow="1" w:lastRow="0" w:firstColumn="1" w:lastColumn="0" w:noHBand="0" w:noVBand="1"/>
      </w:tblPr>
      <w:tblGrid>
        <w:gridCol w:w="5131"/>
        <w:gridCol w:w="242"/>
        <w:gridCol w:w="5090"/>
      </w:tblGrid>
      <w:tr w:rsidR="00235B94" w:rsidRPr="00490D55" w14:paraId="588390EE" w14:textId="77777777" w:rsidTr="0014147F">
        <w:trPr>
          <w:trHeight w:val="279"/>
        </w:trPr>
        <w:tc>
          <w:tcPr>
            <w:tcW w:w="5131" w:type="dxa"/>
            <w:tcBorders>
              <w:top w:val="nil"/>
              <w:left w:val="nil"/>
              <w:bottom w:val="single" w:sz="4" w:space="0" w:color="auto"/>
              <w:right w:val="nil"/>
            </w:tcBorders>
            <w:vAlign w:val="center"/>
            <w:hideMark/>
          </w:tcPr>
          <w:p w14:paraId="7D4BB637" w14:textId="6781FF7E" w:rsidR="00235B94" w:rsidRPr="006942B3" w:rsidRDefault="005762FC" w:rsidP="00F32302">
            <w:pPr>
              <w:pStyle w:val="a3"/>
              <w:spacing w:line="276" w:lineRule="auto"/>
              <w:ind w:leftChars="-54" w:left="-97"/>
              <w:rPr>
                <w:sz w:val="18"/>
                <w:szCs w:val="18"/>
                <w:lang w:eastAsia="zh-CN"/>
              </w:rPr>
            </w:pPr>
            <w:r w:rsidRPr="00D4203B">
              <w:rPr>
                <w:rFonts w:asciiTheme="majorEastAsia" w:eastAsiaTheme="majorEastAsia" w:hAnsiTheme="majorEastAsia" w:hint="eastAsia"/>
                <w:color w:val="auto"/>
                <w:sz w:val="18"/>
                <w:szCs w:val="18"/>
                <w:lang w:eastAsia="zh-CN"/>
              </w:rPr>
              <w:t xml:space="preserve">图表 </w:t>
            </w:r>
            <w:r w:rsidRPr="00D4203B">
              <w:rPr>
                <w:rFonts w:asciiTheme="majorEastAsia" w:eastAsiaTheme="majorEastAsia" w:hAnsiTheme="majorEastAsia"/>
                <w:color w:val="auto"/>
                <w:sz w:val="18"/>
                <w:szCs w:val="18"/>
                <w:lang w:eastAsia="zh-CN"/>
              </w:rPr>
              <w:fldChar w:fldCharType="begin"/>
            </w:r>
            <w:r w:rsidRPr="00D4203B">
              <w:rPr>
                <w:rFonts w:asciiTheme="majorEastAsia" w:eastAsiaTheme="majorEastAsia" w:hAnsiTheme="majorEastAsia"/>
                <w:color w:val="auto"/>
                <w:sz w:val="18"/>
                <w:szCs w:val="18"/>
                <w:lang w:eastAsia="zh-CN"/>
              </w:rPr>
              <w:instrText xml:space="preserve"> </w:instrText>
            </w:r>
            <w:r w:rsidRPr="00D4203B">
              <w:rPr>
                <w:rFonts w:asciiTheme="majorEastAsia" w:eastAsiaTheme="majorEastAsia" w:hAnsiTheme="majorEastAsia" w:hint="eastAsia"/>
                <w:color w:val="auto"/>
                <w:sz w:val="18"/>
                <w:szCs w:val="18"/>
                <w:lang w:eastAsia="zh-CN"/>
              </w:rPr>
              <w:instrText>SEQ 图表 \* ARABIC</w:instrText>
            </w:r>
            <w:r w:rsidRPr="00D4203B">
              <w:rPr>
                <w:rFonts w:asciiTheme="majorEastAsia" w:eastAsiaTheme="majorEastAsia" w:hAnsiTheme="majorEastAsia"/>
                <w:color w:val="auto"/>
                <w:sz w:val="18"/>
                <w:szCs w:val="18"/>
                <w:lang w:eastAsia="zh-CN"/>
              </w:rPr>
              <w:instrText xml:space="preserve"> </w:instrText>
            </w:r>
            <w:r w:rsidRPr="00D4203B">
              <w:rPr>
                <w:rFonts w:asciiTheme="majorEastAsia" w:eastAsiaTheme="majorEastAsia" w:hAnsiTheme="majorEastAsia"/>
                <w:color w:val="auto"/>
                <w:sz w:val="18"/>
                <w:szCs w:val="18"/>
                <w:lang w:eastAsia="zh-CN"/>
              </w:rPr>
              <w:fldChar w:fldCharType="separate"/>
            </w:r>
            <w:r w:rsidRPr="00D4203B">
              <w:rPr>
                <w:rFonts w:asciiTheme="majorEastAsia" w:eastAsiaTheme="majorEastAsia" w:hAnsiTheme="majorEastAsia"/>
                <w:color w:val="auto"/>
                <w:sz w:val="18"/>
                <w:szCs w:val="18"/>
                <w:lang w:eastAsia="zh-CN"/>
              </w:rPr>
              <w:t>3</w:t>
            </w:r>
            <w:r w:rsidRPr="00D4203B">
              <w:rPr>
                <w:rFonts w:asciiTheme="majorEastAsia" w:eastAsiaTheme="majorEastAsia" w:hAnsiTheme="majorEastAsia"/>
                <w:color w:val="auto"/>
                <w:sz w:val="18"/>
                <w:szCs w:val="18"/>
                <w:lang w:eastAsia="zh-CN"/>
              </w:rPr>
              <w:fldChar w:fldCharType="end"/>
            </w:r>
            <w:r w:rsidR="00235B94" w:rsidRPr="00D4203B">
              <w:rPr>
                <w:rFonts w:asciiTheme="majorEastAsia" w:eastAsiaTheme="majorEastAsia" w:hAnsiTheme="majorEastAsia" w:hint="eastAsia"/>
                <w:color w:val="auto"/>
                <w:sz w:val="18"/>
                <w:szCs w:val="18"/>
                <w:lang w:eastAsia="zh-CN"/>
              </w:rPr>
              <w:t>：</w:t>
            </w:r>
            <w:r w:rsidR="004242CA" w:rsidRPr="00D4203B">
              <w:rPr>
                <w:rFonts w:asciiTheme="majorEastAsia" w:eastAsiaTheme="majorEastAsia" w:hAnsiTheme="majorEastAsia" w:hint="eastAsia"/>
                <w:color w:val="auto"/>
                <w:sz w:val="18"/>
                <w:szCs w:val="18"/>
                <w:lang w:eastAsia="zh-CN"/>
              </w:rPr>
              <w:t>四大市场业务收入</w:t>
            </w:r>
            <w:r w:rsidR="005419B9" w:rsidRPr="00D4203B">
              <w:rPr>
                <w:rFonts w:asciiTheme="majorEastAsia" w:eastAsiaTheme="majorEastAsia" w:hAnsiTheme="majorEastAsia" w:hint="eastAsia"/>
                <w:color w:val="auto"/>
                <w:sz w:val="18"/>
                <w:szCs w:val="18"/>
                <w:lang w:eastAsia="zh-CN"/>
              </w:rPr>
              <w:t>结构</w:t>
            </w:r>
            <w:r w:rsidR="004242CA" w:rsidRPr="00D4203B">
              <w:rPr>
                <w:rFonts w:asciiTheme="majorEastAsia" w:eastAsiaTheme="majorEastAsia" w:hAnsiTheme="majorEastAsia" w:hint="eastAsia"/>
                <w:color w:val="auto"/>
                <w:sz w:val="18"/>
                <w:szCs w:val="18"/>
                <w:lang w:eastAsia="zh-CN"/>
              </w:rPr>
              <w:t>（单位：百万元）</w:t>
            </w:r>
          </w:p>
        </w:tc>
        <w:tc>
          <w:tcPr>
            <w:tcW w:w="242" w:type="dxa"/>
            <w:vAlign w:val="center"/>
          </w:tcPr>
          <w:p w14:paraId="5C9A5EBB" w14:textId="77777777" w:rsidR="00235B94" w:rsidRPr="00D4203B" w:rsidRDefault="00235B94" w:rsidP="00D4203B">
            <w:pPr>
              <w:pStyle w:val="a3"/>
              <w:spacing w:line="276" w:lineRule="auto"/>
              <w:ind w:leftChars="-54" w:left="-97"/>
              <w:rPr>
                <w:rFonts w:asciiTheme="majorEastAsia" w:eastAsiaTheme="majorEastAsia" w:hAnsiTheme="majorEastAsia"/>
                <w:color w:val="auto"/>
                <w:sz w:val="18"/>
                <w:szCs w:val="18"/>
                <w:lang w:eastAsia="zh-CN"/>
              </w:rPr>
            </w:pPr>
          </w:p>
        </w:tc>
        <w:tc>
          <w:tcPr>
            <w:tcW w:w="5090" w:type="dxa"/>
            <w:tcBorders>
              <w:top w:val="nil"/>
              <w:left w:val="nil"/>
              <w:bottom w:val="single" w:sz="4" w:space="0" w:color="auto"/>
              <w:right w:val="nil"/>
            </w:tcBorders>
            <w:vAlign w:val="center"/>
            <w:hideMark/>
          </w:tcPr>
          <w:p w14:paraId="2931046D" w14:textId="452021F8" w:rsidR="00235B94" w:rsidRPr="00D4203B" w:rsidRDefault="005762FC" w:rsidP="00D4203B">
            <w:pPr>
              <w:pStyle w:val="a3"/>
              <w:spacing w:line="276" w:lineRule="auto"/>
              <w:ind w:leftChars="-54" w:left="-97"/>
              <w:rPr>
                <w:rFonts w:asciiTheme="majorEastAsia" w:eastAsiaTheme="majorEastAsia" w:hAnsiTheme="majorEastAsia"/>
                <w:color w:val="auto"/>
                <w:sz w:val="18"/>
                <w:szCs w:val="18"/>
                <w:lang w:eastAsia="zh-CN"/>
              </w:rPr>
            </w:pPr>
            <w:r w:rsidRPr="00D4203B">
              <w:rPr>
                <w:rFonts w:asciiTheme="majorEastAsia" w:eastAsiaTheme="majorEastAsia" w:hAnsiTheme="majorEastAsia" w:hint="eastAsia"/>
                <w:color w:val="auto"/>
                <w:sz w:val="18"/>
                <w:szCs w:val="18"/>
                <w:lang w:eastAsia="zh-CN"/>
              </w:rPr>
              <w:t xml:space="preserve">图表 </w:t>
            </w:r>
            <w:r w:rsidRPr="00D4203B">
              <w:rPr>
                <w:rFonts w:asciiTheme="majorEastAsia" w:eastAsiaTheme="majorEastAsia" w:hAnsiTheme="majorEastAsia"/>
                <w:color w:val="auto"/>
                <w:sz w:val="18"/>
                <w:szCs w:val="18"/>
                <w:lang w:eastAsia="zh-CN"/>
              </w:rPr>
              <w:fldChar w:fldCharType="begin"/>
            </w:r>
            <w:r w:rsidRPr="00D4203B">
              <w:rPr>
                <w:rFonts w:asciiTheme="majorEastAsia" w:eastAsiaTheme="majorEastAsia" w:hAnsiTheme="majorEastAsia"/>
                <w:color w:val="auto"/>
                <w:sz w:val="18"/>
                <w:szCs w:val="18"/>
                <w:lang w:eastAsia="zh-CN"/>
              </w:rPr>
              <w:instrText xml:space="preserve"> </w:instrText>
            </w:r>
            <w:r w:rsidRPr="00D4203B">
              <w:rPr>
                <w:rFonts w:asciiTheme="majorEastAsia" w:eastAsiaTheme="majorEastAsia" w:hAnsiTheme="majorEastAsia" w:hint="eastAsia"/>
                <w:color w:val="auto"/>
                <w:sz w:val="18"/>
                <w:szCs w:val="18"/>
                <w:lang w:eastAsia="zh-CN"/>
              </w:rPr>
              <w:instrText>SEQ 图表 \* ARABIC</w:instrText>
            </w:r>
            <w:r w:rsidRPr="00D4203B">
              <w:rPr>
                <w:rFonts w:asciiTheme="majorEastAsia" w:eastAsiaTheme="majorEastAsia" w:hAnsiTheme="majorEastAsia"/>
                <w:color w:val="auto"/>
                <w:sz w:val="18"/>
                <w:szCs w:val="18"/>
                <w:lang w:eastAsia="zh-CN"/>
              </w:rPr>
              <w:instrText xml:space="preserve"> </w:instrText>
            </w:r>
            <w:r w:rsidRPr="00D4203B">
              <w:rPr>
                <w:rFonts w:asciiTheme="majorEastAsia" w:eastAsiaTheme="majorEastAsia" w:hAnsiTheme="majorEastAsia"/>
                <w:color w:val="auto"/>
                <w:sz w:val="18"/>
                <w:szCs w:val="18"/>
                <w:lang w:eastAsia="zh-CN"/>
              </w:rPr>
              <w:fldChar w:fldCharType="separate"/>
            </w:r>
            <w:r w:rsidRPr="00D4203B">
              <w:rPr>
                <w:rFonts w:asciiTheme="majorEastAsia" w:eastAsiaTheme="majorEastAsia" w:hAnsiTheme="majorEastAsia"/>
                <w:color w:val="auto"/>
                <w:sz w:val="18"/>
                <w:szCs w:val="18"/>
                <w:lang w:eastAsia="zh-CN"/>
              </w:rPr>
              <w:t>4</w:t>
            </w:r>
            <w:r w:rsidRPr="00D4203B">
              <w:rPr>
                <w:rFonts w:asciiTheme="majorEastAsia" w:eastAsiaTheme="majorEastAsia" w:hAnsiTheme="majorEastAsia"/>
                <w:color w:val="auto"/>
                <w:sz w:val="18"/>
                <w:szCs w:val="18"/>
                <w:lang w:eastAsia="zh-CN"/>
              </w:rPr>
              <w:fldChar w:fldCharType="end"/>
            </w:r>
            <w:r w:rsidR="00235B94" w:rsidRPr="00D4203B">
              <w:rPr>
                <w:rFonts w:asciiTheme="majorEastAsia" w:eastAsiaTheme="majorEastAsia" w:hAnsiTheme="majorEastAsia" w:hint="eastAsia"/>
                <w:color w:val="auto"/>
                <w:sz w:val="18"/>
                <w:szCs w:val="18"/>
                <w:lang w:eastAsia="zh-CN"/>
              </w:rPr>
              <w:t>：</w:t>
            </w:r>
            <w:r w:rsidR="0014147F" w:rsidRPr="00D4203B">
              <w:rPr>
                <w:rFonts w:asciiTheme="majorEastAsia" w:eastAsiaTheme="majorEastAsia" w:hAnsiTheme="majorEastAsia" w:hint="eastAsia"/>
                <w:color w:val="auto"/>
                <w:sz w:val="18"/>
                <w:szCs w:val="18"/>
                <w:lang w:eastAsia="zh-CN"/>
              </w:rPr>
              <w:t>移动业务A</w:t>
            </w:r>
            <w:r w:rsidR="0014147F" w:rsidRPr="00D4203B">
              <w:rPr>
                <w:rFonts w:asciiTheme="majorEastAsia" w:eastAsiaTheme="majorEastAsia" w:hAnsiTheme="majorEastAsia"/>
                <w:color w:val="auto"/>
                <w:sz w:val="18"/>
                <w:szCs w:val="18"/>
                <w:lang w:eastAsia="zh-CN"/>
              </w:rPr>
              <w:t>RPU</w:t>
            </w:r>
            <w:r w:rsidR="00661AFB" w:rsidRPr="00D4203B">
              <w:rPr>
                <w:rFonts w:asciiTheme="majorEastAsia" w:eastAsiaTheme="majorEastAsia" w:hAnsiTheme="majorEastAsia" w:hint="eastAsia"/>
                <w:color w:val="auto"/>
                <w:sz w:val="18"/>
                <w:szCs w:val="18"/>
                <w:lang w:eastAsia="zh-CN"/>
              </w:rPr>
              <w:t>（单位：元）</w:t>
            </w:r>
          </w:p>
        </w:tc>
      </w:tr>
      <w:tr w:rsidR="00235B94" w:rsidRPr="009B1FB9" w14:paraId="1B5F00FF" w14:textId="77777777" w:rsidTr="00C942A5">
        <w:trPr>
          <w:trHeight w:hRule="exact" w:val="3657"/>
        </w:trPr>
        <w:tc>
          <w:tcPr>
            <w:tcW w:w="5131" w:type="dxa"/>
            <w:tcBorders>
              <w:top w:val="single" w:sz="4" w:space="0" w:color="auto"/>
              <w:left w:val="nil"/>
              <w:bottom w:val="single" w:sz="4" w:space="0" w:color="auto"/>
              <w:right w:val="nil"/>
            </w:tcBorders>
            <w:vAlign w:val="center"/>
          </w:tcPr>
          <w:p w14:paraId="4A5BD14D" w14:textId="29DF2DB4" w:rsidR="00235B94" w:rsidRPr="009B1FB9" w:rsidRDefault="005419B9" w:rsidP="0014147F">
            <w:pPr>
              <w:pStyle w:val="a"/>
              <w:spacing w:after="0" w:line="276" w:lineRule="auto"/>
              <w:ind w:leftChars="0" w:left="0"/>
              <w:jc w:val="center"/>
              <w:rPr>
                <w:rFonts w:cs="Arial"/>
                <w:lang w:eastAsia="zh-CN"/>
              </w:rPr>
            </w:pPr>
            <w:r w:rsidRPr="005419B9">
              <w:rPr>
                <w:rFonts w:cs="Arial"/>
                <w:noProof/>
                <w:lang w:eastAsia="zh-CN"/>
              </w:rPr>
              <w:drawing>
                <wp:inline distT="0" distB="0" distL="0" distR="0" wp14:anchorId="71E9203D" wp14:editId="14155438">
                  <wp:extent cx="3207224" cy="2242953"/>
                  <wp:effectExtent l="0" t="0" r="0" b="508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c>
          <w:tcPr>
            <w:tcW w:w="242" w:type="dxa"/>
            <w:vAlign w:val="center"/>
          </w:tcPr>
          <w:p w14:paraId="3F7964D1" w14:textId="77777777" w:rsidR="00235B94" w:rsidRPr="009B1FB9" w:rsidRDefault="00235B94" w:rsidP="0014147F">
            <w:pPr>
              <w:pStyle w:val="a"/>
              <w:spacing w:after="0" w:line="276" w:lineRule="auto"/>
              <w:ind w:leftChars="0" w:left="0"/>
              <w:rPr>
                <w:rFonts w:cs="Arial"/>
                <w:lang w:eastAsia="zh-CN"/>
              </w:rPr>
            </w:pPr>
          </w:p>
        </w:tc>
        <w:tc>
          <w:tcPr>
            <w:tcW w:w="5090" w:type="dxa"/>
            <w:tcBorders>
              <w:top w:val="single" w:sz="4" w:space="0" w:color="auto"/>
              <w:left w:val="nil"/>
              <w:bottom w:val="single" w:sz="4" w:space="0" w:color="auto"/>
              <w:right w:val="nil"/>
            </w:tcBorders>
            <w:vAlign w:val="center"/>
          </w:tcPr>
          <w:p w14:paraId="2F1D8AB5" w14:textId="454F2FBA" w:rsidR="00235B94" w:rsidRPr="009B1FB9" w:rsidRDefault="00C942A5" w:rsidP="0014147F">
            <w:pPr>
              <w:pStyle w:val="a"/>
              <w:spacing w:after="0" w:line="276" w:lineRule="auto"/>
              <w:ind w:leftChars="0" w:left="0"/>
              <w:jc w:val="center"/>
              <w:rPr>
                <w:rFonts w:cs="Arial"/>
                <w:lang w:eastAsia="zh-CN"/>
              </w:rPr>
            </w:pPr>
            <w:r>
              <w:rPr>
                <w:noProof/>
              </w:rPr>
              <w:drawing>
                <wp:inline distT="0" distB="0" distL="0" distR="0" wp14:anchorId="09E6BB2E" wp14:editId="7CA4B521">
                  <wp:extent cx="3094990" cy="2190466"/>
                  <wp:effectExtent l="0" t="0" r="0" b="63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235B94" w:rsidRPr="00490D55" w14:paraId="0B0955CD" w14:textId="77777777" w:rsidTr="0014147F">
        <w:trPr>
          <w:trHeight w:val="279"/>
        </w:trPr>
        <w:tc>
          <w:tcPr>
            <w:tcW w:w="5131" w:type="dxa"/>
            <w:tcBorders>
              <w:top w:val="single" w:sz="4" w:space="0" w:color="auto"/>
              <w:left w:val="nil"/>
              <w:bottom w:val="nil"/>
              <w:right w:val="nil"/>
            </w:tcBorders>
            <w:vAlign w:val="center"/>
            <w:hideMark/>
          </w:tcPr>
          <w:p w14:paraId="26B5F5CE" w14:textId="77777777" w:rsidR="00235B94" w:rsidRPr="00C66411" w:rsidRDefault="00235B94" w:rsidP="0014147F">
            <w:pPr>
              <w:pStyle w:val="a4"/>
              <w:spacing w:line="276" w:lineRule="auto"/>
              <w:ind w:leftChars="-54" w:left="-97"/>
            </w:pPr>
            <w:r w:rsidRPr="006269F1">
              <w:rPr>
                <w:rFonts w:asciiTheme="minorEastAsia" w:eastAsiaTheme="minorEastAsia" w:hAnsiTheme="minorEastAsia"/>
                <w:color w:val="auto"/>
                <w:sz w:val="15"/>
                <w:szCs w:val="15"/>
              </w:rPr>
              <w:t>数据来源：</w:t>
            </w:r>
            <w:r w:rsidRPr="006269F1">
              <w:rPr>
                <w:rFonts w:asciiTheme="minorEastAsia" w:eastAsiaTheme="minorEastAsia" w:hAnsiTheme="minorEastAsia" w:hint="eastAsia"/>
                <w:color w:val="auto"/>
                <w:sz w:val="15"/>
                <w:szCs w:val="15"/>
              </w:rPr>
              <w:t>公司财报，广发证券（香港）经纪财富研究</w:t>
            </w:r>
          </w:p>
        </w:tc>
        <w:tc>
          <w:tcPr>
            <w:tcW w:w="242" w:type="dxa"/>
            <w:vAlign w:val="center"/>
          </w:tcPr>
          <w:p w14:paraId="2DA39809" w14:textId="77777777" w:rsidR="00235B94" w:rsidRPr="00490D55" w:rsidRDefault="00235B94" w:rsidP="0014147F">
            <w:pPr>
              <w:pStyle w:val="a"/>
              <w:spacing w:after="0" w:line="276" w:lineRule="auto"/>
              <w:ind w:leftChars="0" w:left="0"/>
              <w:rPr>
                <w:color w:val="0F243E"/>
                <w:sz w:val="18"/>
                <w:lang w:eastAsia="zh-CN"/>
              </w:rPr>
            </w:pPr>
          </w:p>
        </w:tc>
        <w:tc>
          <w:tcPr>
            <w:tcW w:w="5090" w:type="dxa"/>
            <w:tcBorders>
              <w:top w:val="single" w:sz="4" w:space="0" w:color="auto"/>
              <w:left w:val="nil"/>
              <w:bottom w:val="nil"/>
              <w:right w:val="nil"/>
            </w:tcBorders>
            <w:vAlign w:val="center"/>
            <w:hideMark/>
          </w:tcPr>
          <w:p w14:paraId="780C4D95" w14:textId="77777777" w:rsidR="00235B94" w:rsidRPr="00C66411" w:rsidRDefault="00235B94" w:rsidP="006269F1">
            <w:pPr>
              <w:pStyle w:val="a4"/>
              <w:spacing w:line="276" w:lineRule="auto"/>
              <w:ind w:leftChars="-54" w:left="-97"/>
            </w:pPr>
            <w:r w:rsidRPr="006269F1">
              <w:rPr>
                <w:rFonts w:asciiTheme="minorEastAsia" w:eastAsiaTheme="minorEastAsia" w:hAnsiTheme="minorEastAsia"/>
                <w:color w:val="auto"/>
                <w:sz w:val="15"/>
                <w:szCs w:val="15"/>
              </w:rPr>
              <w:t>数据来源：</w:t>
            </w:r>
            <w:r w:rsidRPr="006269F1">
              <w:rPr>
                <w:rFonts w:asciiTheme="minorEastAsia" w:eastAsiaTheme="minorEastAsia" w:hAnsiTheme="minorEastAsia" w:hint="eastAsia"/>
                <w:color w:val="auto"/>
                <w:sz w:val="15"/>
                <w:szCs w:val="15"/>
              </w:rPr>
              <w:t>公司财报，广发证券（香港）经纪财富研究</w:t>
            </w:r>
          </w:p>
        </w:tc>
      </w:tr>
    </w:tbl>
    <w:p w14:paraId="07015F50" w14:textId="7FFB992E" w:rsidR="00DA5A07" w:rsidRPr="00235B94" w:rsidRDefault="00DA5A07" w:rsidP="001523F5">
      <w:pPr>
        <w:spacing w:beforeLines="50" w:before="120" w:afterLines="50" w:after="120" w:line="276" w:lineRule="auto"/>
        <w:rPr>
          <w:rFonts w:eastAsia="宋体..閰繷." w:cs="Times New Roman"/>
          <w:szCs w:val="18"/>
        </w:rPr>
      </w:pPr>
    </w:p>
    <w:p w14:paraId="6A7C24F5" w14:textId="6BA90232" w:rsidR="00DA5A07" w:rsidRPr="000A7D1E" w:rsidRDefault="00A16D85" w:rsidP="00DA5A07">
      <w:pPr>
        <w:spacing w:line="276" w:lineRule="auto"/>
        <w:rPr>
          <w:rFonts w:eastAsia="宋体..閰繷." w:cs="Times New Roman"/>
          <w:b/>
          <w:bCs/>
          <w:sz w:val="28"/>
          <w:szCs w:val="28"/>
        </w:rPr>
      </w:pPr>
      <w:r w:rsidRPr="000A7D1E">
        <w:rPr>
          <w:rFonts w:eastAsia="宋体..閰繷." w:cs="Times New Roman" w:hint="eastAsia"/>
          <w:b/>
          <w:bCs/>
          <w:sz w:val="28"/>
          <w:szCs w:val="28"/>
        </w:rPr>
        <w:t>三</w:t>
      </w:r>
      <w:r w:rsidR="00DA5A07" w:rsidRPr="000A7D1E">
        <w:rPr>
          <w:rFonts w:eastAsia="宋体..閰繷." w:cs="Times New Roman" w:hint="eastAsia"/>
          <w:b/>
          <w:bCs/>
          <w:sz w:val="28"/>
          <w:szCs w:val="28"/>
        </w:rPr>
        <w:t>、</w:t>
      </w:r>
      <w:r w:rsidR="000811FF" w:rsidRPr="000A7D1E">
        <w:rPr>
          <w:rFonts w:eastAsia="宋体..閰繷." w:cs="Times New Roman" w:hint="eastAsia"/>
          <w:b/>
          <w:bCs/>
          <w:sz w:val="28"/>
          <w:szCs w:val="28"/>
        </w:rPr>
        <w:t>经营成本控制卓有成效，资本开支进入到下行周期</w:t>
      </w:r>
    </w:p>
    <w:p w14:paraId="72307FC1" w14:textId="704A7F39" w:rsidR="00DA5A07" w:rsidRDefault="00FC1468" w:rsidP="00EC032C">
      <w:pPr>
        <w:spacing w:beforeLines="50" w:before="120" w:afterLines="50" w:after="120" w:line="276" w:lineRule="auto"/>
        <w:jc w:val="both"/>
        <w:rPr>
          <w:rFonts w:eastAsia="宋体..閰繷." w:cs="Times New Roman"/>
          <w:szCs w:val="18"/>
        </w:rPr>
      </w:pPr>
      <w:r w:rsidRPr="00FC1468">
        <w:rPr>
          <w:rFonts w:eastAsia="宋体..閰繷." w:cs="Times New Roman" w:hint="eastAsia"/>
          <w:szCs w:val="18"/>
        </w:rPr>
        <w:t>2022</w:t>
      </w:r>
      <w:r w:rsidRPr="00FC1468">
        <w:rPr>
          <w:rFonts w:eastAsia="宋体..閰繷." w:cs="Times New Roman" w:hint="eastAsia"/>
          <w:szCs w:val="18"/>
        </w:rPr>
        <w:t>年公司经营成本控制卓有成效，主要成本项占营收的比重多数下降。</w:t>
      </w:r>
      <w:r w:rsidR="00CD422F" w:rsidRPr="00CD422F">
        <w:rPr>
          <w:rFonts w:eastAsia="宋体..閰繷." w:cs="Times New Roman" w:hint="eastAsia"/>
          <w:szCs w:val="18"/>
        </w:rPr>
        <w:t>网络营运及支撑成本</w:t>
      </w:r>
      <w:r w:rsidR="00CD422F">
        <w:rPr>
          <w:rFonts w:eastAsia="宋体..閰繷." w:cs="Times New Roman" w:hint="eastAsia"/>
          <w:szCs w:val="18"/>
        </w:rPr>
        <w:t>、折旧摊销及其他费用、职工薪酬成本是公司的主要运营成本项，</w:t>
      </w:r>
      <w:r w:rsidR="00CD422F">
        <w:rPr>
          <w:rFonts w:eastAsia="宋体..閰繷." w:cs="Times New Roman" w:hint="eastAsia"/>
          <w:szCs w:val="18"/>
        </w:rPr>
        <w:t>2</w:t>
      </w:r>
      <w:r w:rsidR="00CD422F">
        <w:rPr>
          <w:rFonts w:eastAsia="宋体..閰繷." w:cs="Times New Roman"/>
          <w:szCs w:val="18"/>
        </w:rPr>
        <w:t>022</w:t>
      </w:r>
      <w:r w:rsidR="00CD422F">
        <w:rPr>
          <w:rFonts w:eastAsia="宋体..閰繷." w:cs="Times New Roman" w:hint="eastAsia"/>
          <w:szCs w:val="18"/>
        </w:rPr>
        <w:t>年</w:t>
      </w:r>
      <w:r w:rsidR="00F45ED9">
        <w:rPr>
          <w:rFonts w:eastAsia="宋体..閰繷." w:cs="Times New Roman" w:hint="eastAsia"/>
          <w:szCs w:val="18"/>
        </w:rPr>
        <w:t>分别占</w:t>
      </w:r>
      <w:r w:rsidR="00F52851">
        <w:rPr>
          <w:rFonts w:eastAsia="宋体..閰繷." w:cs="Times New Roman" w:hint="eastAsia"/>
          <w:szCs w:val="18"/>
        </w:rPr>
        <w:t>到</w:t>
      </w:r>
      <w:r w:rsidR="00F45ED9">
        <w:rPr>
          <w:rFonts w:eastAsia="宋体..閰繷." w:cs="Times New Roman" w:hint="eastAsia"/>
          <w:szCs w:val="18"/>
        </w:rPr>
        <w:t>营业成本的</w:t>
      </w:r>
      <w:r w:rsidR="00F45ED9">
        <w:rPr>
          <w:rFonts w:eastAsia="宋体..閰繷." w:cs="Times New Roman" w:hint="eastAsia"/>
          <w:szCs w:val="18"/>
        </w:rPr>
        <w:t>3</w:t>
      </w:r>
      <w:r w:rsidR="00F45ED9">
        <w:rPr>
          <w:rFonts w:eastAsia="宋体..閰繷." w:cs="Times New Roman"/>
          <w:szCs w:val="18"/>
        </w:rPr>
        <w:t>1.45%</w:t>
      </w:r>
      <w:r w:rsidR="00F45ED9">
        <w:rPr>
          <w:rFonts w:eastAsia="宋体..閰繷." w:cs="Times New Roman" w:hint="eastAsia"/>
          <w:szCs w:val="18"/>
        </w:rPr>
        <w:t>、</w:t>
      </w:r>
      <w:r w:rsidR="00F45ED9">
        <w:rPr>
          <w:rFonts w:eastAsia="宋体..閰繷." w:cs="Times New Roman" w:hint="eastAsia"/>
          <w:szCs w:val="18"/>
        </w:rPr>
        <w:t>2</w:t>
      </w:r>
      <w:r w:rsidR="00F45ED9">
        <w:rPr>
          <w:rFonts w:eastAsia="宋体..閰繷." w:cs="Times New Roman"/>
          <w:szCs w:val="18"/>
        </w:rPr>
        <w:t>4.76%</w:t>
      </w:r>
      <w:r w:rsidR="00F45ED9">
        <w:rPr>
          <w:rFonts w:eastAsia="宋体..閰繷." w:cs="Times New Roman" w:hint="eastAsia"/>
          <w:szCs w:val="18"/>
        </w:rPr>
        <w:t>和</w:t>
      </w:r>
      <w:r w:rsidR="00F45ED9">
        <w:rPr>
          <w:rFonts w:eastAsia="宋体..閰繷." w:cs="Times New Roman" w:hint="eastAsia"/>
          <w:szCs w:val="18"/>
        </w:rPr>
        <w:t>1</w:t>
      </w:r>
      <w:r w:rsidR="00F45ED9">
        <w:rPr>
          <w:rFonts w:eastAsia="宋体..閰繷." w:cs="Times New Roman"/>
          <w:szCs w:val="18"/>
        </w:rPr>
        <w:t>6.11%</w:t>
      </w:r>
      <w:r w:rsidR="00F45ED9">
        <w:rPr>
          <w:rFonts w:eastAsia="宋体..閰繷." w:cs="Times New Roman" w:hint="eastAsia"/>
          <w:szCs w:val="18"/>
        </w:rPr>
        <w:t>。</w:t>
      </w:r>
      <w:r w:rsidR="00F52851">
        <w:rPr>
          <w:rFonts w:eastAsia="宋体..閰繷." w:cs="Times New Roman" w:hint="eastAsia"/>
          <w:szCs w:val="18"/>
        </w:rPr>
        <w:t>2</w:t>
      </w:r>
      <w:r w:rsidR="00F52851">
        <w:rPr>
          <w:rFonts w:eastAsia="宋体..閰繷." w:cs="Times New Roman"/>
          <w:szCs w:val="18"/>
        </w:rPr>
        <w:t>022</w:t>
      </w:r>
      <w:r w:rsidR="00F52851">
        <w:rPr>
          <w:rFonts w:eastAsia="宋体..閰繷." w:cs="Times New Roman" w:hint="eastAsia"/>
          <w:szCs w:val="18"/>
        </w:rPr>
        <w:t>年，三项成本相对</w:t>
      </w:r>
      <w:r w:rsidR="00CD422F">
        <w:rPr>
          <w:rFonts w:eastAsia="宋体..閰繷." w:cs="Times New Roman" w:hint="eastAsia"/>
          <w:szCs w:val="18"/>
        </w:rPr>
        <w:t>公司营收</w:t>
      </w:r>
      <w:r w:rsidR="00F52851">
        <w:rPr>
          <w:rFonts w:eastAsia="宋体..閰繷." w:cs="Times New Roman" w:hint="eastAsia"/>
          <w:szCs w:val="18"/>
        </w:rPr>
        <w:t>比重</w:t>
      </w:r>
      <w:r w:rsidR="00A20FCE">
        <w:rPr>
          <w:rFonts w:eastAsia="宋体..閰繷." w:cs="Times New Roman" w:hint="eastAsia"/>
          <w:szCs w:val="18"/>
        </w:rPr>
        <w:t>分别</w:t>
      </w:r>
      <w:r w:rsidR="00CD422F">
        <w:rPr>
          <w:rFonts w:eastAsia="宋体..閰繷." w:cs="Times New Roman" w:hint="eastAsia"/>
          <w:szCs w:val="18"/>
        </w:rPr>
        <w:t>为</w:t>
      </w:r>
      <w:r w:rsidR="00A20FCE">
        <w:rPr>
          <w:rFonts w:eastAsia="宋体..閰繷." w:cs="Times New Roman" w:hint="eastAsia"/>
          <w:szCs w:val="18"/>
        </w:rPr>
        <w:t>2</w:t>
      </w:r>
      <w:r w:rsidR="00A20FCE">
        <w:rPr>
          <w:rFonts w:eastAsia="宋体..閰繷." w:cs="Times New Roman"/>
          <w:szCs w:val="18"/>
        </w:rPr>
        <w:t>7.12%</w:t>
      </w:r>
      <w:r w:rsidR="00A20FCE">
        <w:rPr>
          <w:rFonts w:eastAsia="宋体..閰繷." w:cs="Times New Roman" w:hint="eastAsia"/>
          <w:szCs w:val="18"/>
        </w:rPr>
        <w:t>、</w:t>
      </w:r>
      <w:r w:rsidR="00A20FCE">
        <w:rPr>
          <w:rFonts w:eastAsia="宋体..閰繷." w:cs="Times New Roman" w:hint="eastAsia"/>
          <w:szCs w:val="18"/>
        </w:rPr>
        <w:t>2</w:t>
      </w:r>
      <w:r w:rsidR="00A20FCE">
        <w:rPr>
          <w:rFonts w:eastAsia="宋体..閰繷." w:cs="Times New Roman"/>
          <w:szCs w:val="18"/>
        </w:rPr>
        <w:t>1.35%</w:t>
      </w:r>
      <w:r w:rsidR="00A20FCE">
        <w:rPr>
          <w:rFonts w:eastAsia="宋体..閰繷." w:cs="Times New Roman" w:hint="eastAsia"/>
          <w:szCs w:val="18"/>
        </w:rPr>
        <w:t>和</w:t>
      </w:r>
      <w:r w:rsidR="00A20FCE">
        <w:rPr>
          <w:rFonts w:eastAsia="宋体..閰繷." w:cs="Times New Roman" w:hint="eastAsia"/>
          <w:szCs w:val="18"/>
        </w:rPr>
        <w:t>1</w:t>
      </w:r>
      <w:r w:rsidR="00A20FCE">
        <w:rPr>
          <w:rFonts w:eastAsia="宋体..閰繷." w:cs="Times New Roman"/>
          <w:szCs w:val="18"/>
        </w:rPr>
        <w:t>3.89%</w:t>
      </w:r>
      <w:r w:rsidR="00F45ED9">
        <w:rPr>
          <w:rFonts w:eastAsia="宋体..閰繷." w:cs="Times New Roman" w:hint="eastAsia"/>
          <w:szCs w:val="18"/>
        </w:rPr>
        <w:t>，相比于</w:t>
      </w:r>
      <w:r w:rsidR="00F45ED9">
        <w:rPr>
          <w:rFonts w:eastAsia="宋体..閰繷." w:cs="Times New Roman" w:hint="eastAsia"/>
          <w:szCs w:val="18"/>
        </w:rPr>
        <w:t>2</w:t>
      </w:r>
      <w:r w:rsidR="00F45ED9">
        <w:rPr>
          <w:rFonts w:eastAsia="宋体..閰繷." w:cs="Times New Roman"/>
          <w:szCs w:val="18"/>
        </w:rPr>
        <w:t>021</w:t>
      </w:r>
      <w:r w:rsidR="00F45ED9">
        <w:rPr>
          <w:rFonts w:eastAsia="宋体..閰繷." w:cs="Times New Roman" w:hint="eastAsia"/>
          <w:szCs w:val="18"/>
        </w:rPr>
        <w:t>年分别上涨了</w:t>
      </w:r>
      <w:r w:rsidR="00F45ED9">
        <w:rPr>
          <w:rFonts w:eastAsia="宋体..閰繷." w:cs="Times New Roman" w:hint="eastAsia"/>
          <w:szCs w:val="18"/>
        </w:rPr>
        <w:t>0</w:t>
      </w:r>
      <w:r w:rsidR="00F45ED9">
        <w:rPr>
          <w:rFonts w:eastAsia="宋体..閰繷." w:cs="Times New Roman"/>
          <w:szCs w:val="18"/>
        </w:rPr>
        <w:t>.59PCT</w:t>
      </w:r>
      <w:r w:rsidR="00F45ED9">
        <w:rPr>
          <w:rFonts w:eastAsia="宋体..閰繷." w:cs="Times New Roman" w:hint="eastAsia"/>
          <w:szCs w:val="18"/>
        </w:rPr>
        <w:t>，下降了</w:t>
      </w:r>
      <w:r w:rsidR="00F52851">
        <w:rPr>
          <w:rFonts w:eastAsia="宋体..閰繷." w:cs="Times New Roman" w:hint="eastAsia"/>
          <w:szCs w:val="18"/>
        </w:rPr>
        <w:t>1</w:t>
      </w:r>
      <w:r w:rsidR="00F52851">
        <w:rPr>
          <w:rFonts w:eastAsia="宋体..閰繷." w:cs="Times New Roman"/>
          <w:szCs w:val="18"/>
        </w:rPr>
        <w:t>.41PCT</w:t>
      </w:r>
      <w:r w:rsidR="00F52851">
        <w:rPr>
          <w:rFonts w:eastAsia="宋体..閰繷." w:cs="Times New Roman" w:hint="eastAsia"/>
          <w:szCs w:val="18"/>
        </w:rPr>
        <w:t>和</w:t>
      </w:r>
      <w:r w:rsidR="00F52851">
        <w:rPr>
          <w:rFonts w:eastAsia="宋体..閰繷." w:cs="Times New Roman" w:hint="eastAsia"/>
          <w:szCs w:val="18"/>
        </w:rPr>
        <w:t>0</w:t>
      </w:r>
      <w:r w:rsidR="00F52851">
        <w:rPr>
          <w:rFonts w:eastAsia="宋体..閰繷." w:cs="Times New Roman"/>
          <w:szCs w:val="18"/>
        </w:rPr>
        <w:t>.1PCT</w:t>
      </w:r>
      <w:r w:rsidR="00F52851">
        <w:rPr>
          <w:rFonts w:eastAsia="宋体..閰繷." w:cs="Times New Roman" w:hint="eastAsia"/>
          <w:szCs w:val="18"/>
        </w:rPr>
        <w:t>。</w:t>
      </w:r>
      <w:r w:rsidR="008F3CF8" w:rsidRPr="008F3CF8">
        <w:rPr>
          <w:rFonts w:eastAsia="宋体..閰繷." w:cs="Times New Roman" w:hint="eastAsia"/>
          <w:szCs w:val="18"/>
        </w:rPr>
        <w:t>网络运营及支撑成本上升，主要归因于算力网络、能力中台等方面的投资力度加大</w:t>
      </w:r>
      <w:r w:rsidR="00FE1973">
        <w:rPr>
          <w:rFonts w:eastAsia="宋体..閰繷." w:cs="Times New Roman" w:hint="eastAsia"/>
          <w:szCs w:val="18"/>
        </w:rPr>
        <w:t>，使得相关的</w:t>
      </w:r>
      <w:r w:rsidR="00FE1973" w:rsidRPr="00FE1973">
        <w:rPr>
          <w:rFonts w:eastAsia="宋体..閰繷." w:cs="Times New Roman" w:hint="eastAsia"/>
          <w:szCs w:val="18"/>
        </w:rPr>
        <w:t>维护支撑</w:t>
      </w:r>
      <w:r w:rsidR="00FE1973">
        <w:rPr>
          <w:rFonts w:eastAsia="宋体..閰繷." w:cs="Times New Roman" w:hint="eastAsia"/>
          <w:szCs w:val="18"/>
        </w:rPr>
        <w:t>成本增加</w:t>
      </w:r>
      <w:r w:rsidR="008F3CF8">
        <w:rPr>
          <w:rFonts w:eastAsia="宋体..閰繷." w:cs="Times New Roman" w:hint="eastAsia"/>
          <w:szCs w:val="18"/>
        </w:rPr>
        <w:t>。</w:t>
      </w:r>
      <w:r w:rsidR="008F3CF8" w:rsidRPr="008F3CF8">
        <w:rPr>
          <w:rFonts w:eastAsia="宋体..閰繷." w:cs="Times New Roman" w:hint="eastAsia"/>
          <w:szCs w:val="18"/>
        </w:rPr>
        <w:t>折旧摊销</w:t>
      </w:r>
      <w:r w:rsidR="008F3CF8">
        <w:rPr>
          <w:rFonts w:eastAsia="宋体..閰繷." w:cs="Times New Roman" w:hint="eastAsia"/>
          <w:szCs w:val="18"/>
        </w:rPr>
        <w:t>成本</w:t>
      </w:r>
      <w:r w:rsidR="00A03551">
        <w:rPr>
          <w:rFonts w:eastAsia="宋体..閰繷." w:cs="Times New Roman" w:hint="eastAsia"/>
          <w:szCs w:val="18"/>
        </w:rPr>
        <w:t>占比的</w:t>
      </w:r>
      <w:r w:rsidR="008F3CF8">
        <w:rPr>
          <w:rFonts w:eastAsia="宋体..閰繷." w:cs="Times New Roman" w:hint="eastAsia"/>
          <w:szCs w:val="18"/>
        </w:rPr>
        <w:t>下降得益于公司近年来资本开支</w:t>
      </w:r>
      <w:r w:rsidR="00A03551">
        <w:rPr>
          <w:rFonts w:eastAsia="宋体..閰繷." w:cs="Times New Roman" w:hint="eastAsia"/>
          <w:szCs w:val="18"/>
        </w:rPr>
        <w:t>的</w:t>
      </w:r>
      <w:r w:rsidR="008F3CF8">
        <w:rPr>
          <w:rFonts w:eastAsia="宋体..閰繷." w:cs="Times New Roman" w:hint="eastAsia"/>
          <w:szCs w:val="18"/>
        </w:rPr>
        <w:t>良好控制，</w:t>
      </w:r>
      <w:r w:rsidR="00EC032C" w:rsidRPr="00EC032C">
        <w:rPr>
          <w:rFonts w:eastAsia="宋体..閰繷." w:cs="Times New Roman" w:hint="eastAsia"/>
          <w:szCs w:val="18"/>
        </w:rPr>
        <w:t>2022</w:t>
      </w:r>
      <w:r w:rsidR="00EC032C" w:rsidRPr="00EC032C">
        <w:rPr>
          <w:rFonts w:eastAsia="宋体..閰繷." w:cs="Times New Roman" w:hint="eastAsia"/>
          <w:szCs w:val="18"/>
        </w:rPr>
        <w:t>年公司各项资本开支合计约</w:t>
      </w:r>
      <w:r w:rsidR="00EC032C" w:rsidRPr="00EC032C">
        <w:rPr>
          <w:rFonts w:eastAsia="宋体..閰繷." w:cs="Times New Roman" w:hint="eastAsia"/>
          <w:szCs w:val="18"/>
        </w:rPr>
        <w:t>1,852</w:t>
      </w:r>
      <w:r w:rsidR="00EC032C" w:rsidRPr="00EC032C">
        <w:rPr>
          <w:rFonts w:eastAsia="宋体..閰繷." w:cs="Times New Roman" w:hint="eastAsia"/>
          <w:szCs w:val="18"/>
        </w:rPr>
        <w:t>亿元，占收入比为</w:t>
      </w:r>
      <w:r w:rsidR="00EC032C" w:rsidRPr="00EC032C">
        <w:rPr>
          <w:rFonts w:eastAsia="宋体..閰繷." w:cs="Times New Roman" w:hint="eastAsia"/>
          <w:szCs w:val="18"/>
        </w:rPr>
        <w:t>22.8%</w:t>
      </w:r>
      <w:r w:rsidR="00A03551">
        <w:rPr>
          <w:rFonts w:eastAsia="宋体..閰繷." w:cs="Times New Roman" w:hint="eastAsia"/>
          <w:szCs w:val="18"/>
        </w:rPr>
        <w:t>，</w:t>
      </w:r>
      <w:r w:rsidR="00A03551" w:rsidRPr="00A03551">
        <w:rPr>
          <w:rFonts w:eastAsia="宋体..閰繷." w:cs="Times New Roman" w:hint="eastAsia"/>
          <w:szCs w:val="18"/>
        </w:rPr>
        <w:t>占营收比重</w:t>
      </w:r>
      <w:r w:rsidR="00A03551">
        <w:rPr>
          <w:rFonts w:eastAsia="宋体..閰繷." w:cs="Times New Roman" w:hint="eastAsia"/>
          <w:szCs w:val="18"/>
        </w:rPr>
        <w:t>相比去年</w:t>
      </w:r>
      <w:r w:rsidR="00A03551" w:rsidRPr="00A03551">
        <w:rPr>
          <w:rFonts w:eastAsia="宋体..閰繷." w:cs="Times New Roman" w:hint="eastAsia"/>
          <w:szCs w:val="18"/>
        </w:rPr>
        <w:t>下降</w:t>
      </w:r>
      <w:r w:rsidR="00A03551">
        <w:rPr>
          <w:rFonts w:eastAsia="宋体..閰繷." w:cs="Times New Roman" w:hint="eastAsia"/>
          <w:szCs w:val="18"/>
        </w:rPr>
        <w:t>1.6</w:t>
      </w:r>
      <w:r w:rsidR="00A03551">
        <w:rPr>
          <w:rFonts w:eastAsia="宋体..閰繷." w:cs="Times New Roman"/>
          <w:szCs w:val="18"/>
        </w:rPr>
        <w:t>PCT</w:t>
      </w:r>
      <w:r w:rsidR="00EC032C" w:rsidRPr="00EC032C">
        <w:rPr>
          <w:rFonts w:eastAsia="宋体..閰繷." w:cs="Times New Roman" w:hint="eastAsia"/>
          <w:szCs w:val="18"/>
        </w:rPr>
        <w:t>。</w:t>
      </w:r>
      <w:r w:rsidR="004C4D5D" w:rsidRPr="004C4D5D">
        <w:rPr>
          <w:rFonts w:eastAsia="宋体..閰繷." w:cs="Times New Roman" w:hint="eastAsia"/>
          <w:szCs w:val="18"/>
        </w:rPr>
        <w:t>预计</w:t>
      </w:r>
      <w:r w:rsidR="004C4D5D" w:rsidRPr="004C4D5D">
        <w:rPr>
          <w:rFonts w:eastAsia="宋体..閰繷." w:cs="Times New Roman" w:hint="eastAsia"/>
          <w:szCs w:val="18"/>
        </w:rPr>
        <w:t>2023</w:t>
      </w:r>
      <w:r w:rsidR="004C4D5D" w:rsidRPr="004C4D5D">
        <w:rPr>
          <w:rFonts w:eastAsia="宋体..閰繷." w:cs="Times New Roman" w:hint="eastAsia"/>
          <w:szCs w:val="18"/>
        </w:rPr>
        <w:t>年的资本开支为</w:t>
      </w:r>
      <w:r w:rsidR="004C4D5D" w:rsidRPr="004C4D5D">
        <w:rPr>
          <w:rFonts w:eastAsia="宋体..閰繷." w:cs="Times New Roman" w:hint="eastAsia"/>
          <w:szCs w:val="18"/>
        </w:rPr>
        <w:t>1,832</w:t>
      </w:r>
      <w:r w:rsidR="004C4D5D" w:rsidRPr="004C4D5D">
        <w:rPr>
          <w:rFonts w:eastAsia="宋体..閰繷." w:cs="Times New Roman" w:hint="eastAsia"/>
          <w:szCs w:val="18"/>
        </w:rPr>
        <w:t>亿元，同比下降</w:t>
      </w:r>
      <w:r w:rsidR="004C4D5D" w:rsidRPr="004C4D5D">
        <w:rPr>
          <w:rFonts w:eastAsia="宋体..閰繷." w:cs="Times New Roman" w:hint="eastAsia"/>
          <w:szCs w:val="18"/>
        </w:rPr>
        <w:t>1.1%</w:t>
      </w:r>
      <w:r w:rsidR="004C4D5D" w:rsidRPr="004C4D5D">
        <w:rPr>
          <w:rFonts w:eastAsia="宋体..閰繷." w:cs="Times New Roman" w:hint="eastAsia"/>
          <w:szCs w:val="18"/>
        </w:rPr>
        <w:t>，其中</w:t>
      </w:r>
      <w:r w:rsidR="004C4D5D" w:rsidRPr="004C4D5D">
        <w:rPr>
          <w:rFonts w:eastAsia="宋体..閰繷." w:cs="Times New Roman" w:hint="eastAsia"/>
          <w:szCs w:val="18"/>
        </w:rPr>
        <w:t>5G</w:t>
      </w:r>
      <w:r w:rsidR="004C4D5D" w:rsidRPr="004C4D5D">
        <w:rPr>
          <w:rFonts w:eastAsia="宋体..閰繷." w:cs="Times New Roman" w:hint="eastAsia"/>
          <w:szCs w:val="18"/>
        </w:rPr>
        <w:t>网络投资降至</w:t>
      </w:r>
      <w:r w:rsidR="004C4D5D" w:rsidRPr="004C4D5D">
        <w:rPr>
          <w:rFonts w:eastAsia="宋体..閰繷." w:cs="Times New Roman" w:hint="eastAsia"/>
          <w:szCs w:val="18"/>
        </w:rPr>
        <w:t>830</w:t>
      </w:r>
      <w:r w:rsidR="004C4D5D" w:rsidRPr="004C4D5D">
        <w:rPr>
          <w:rFonts w:eastAsia="宋体..閰繷." w:cs="Times New Roman" w:hint="eastAsia"/>
          <w:szCs w:val="18"/>
        </w:rPr>
        <w:t>亿元，而算力开支则大幅提升至</w:t>
      </w:r>
      <w:r w:rsidR="004C4D5D" w:rsidRPr="004C4D5D">
        <w:rPr>
          <w:rFonts w:eastAsia="宋体..閰繷." w:cs="Times New Roman" w:hint="eastAsia"/>
          <w:szCs w:val="18"/>
        </w:rPr>
        <w:t>452</w:t>
      </w:r>
      <w:r w:rsidR="004C4D5D" w:rsidRPr="004C4D5D">
        <w:rPr>
          <w:rFonts w:eastAsia="宋体..閰繷." w:cs="Times New Roman" w:hint="eastAsia"/>
          <w:szCs w:val="18"/>
        </w:rPr>
        <w:t>亿元。这是</w:t>
      </w:r>
      <w:r w:rsidR="004C4D5D" w:rsidRPr="004C4D5D">
        <w:rPr>
          <w:rFonts w:eastAsia="宋体..閰繷." w:cs="Times New Roman" w:hint="eastAsia"/>
          <w:szCs w:val="18"/>
        </w:rPr>
        <w:t>2019</w:t>
      </w:r>
      <w:r w:rsidR="004C4D5D" w:rsidRPr="004C4D5D">
        <w:rPr>
          <w:rFonts w:eastAsia="宋体..閰繷." w:cs="Times New Roman" w:hint="eastAsia"/>
          <w:szCs w:val="18"/>
        </w:rPr>
        <w:t>年之后中国移动首次出现资本开支下降，我们预计未来几年公司资本开支将继续呈现下降趋势，资本开支占营收比重将降至</w:t>
      </w:r>
      <w:r w:rsidR="004C4D5D" w:rsidRPr="004C4D5D">
        <w:rPr>
          <w:rFonts w:eastAsia="宋体..閰繷." w:cs="Times New Roman" w:hint="eastAsia"/>
          <w:szCs w:val="18"/>
        </w:rPr>
        <w:t>20%</w:t>
      </w:r>
      <w:r w:rsidR="004C4D5D" w:rsidRPr="004C4D5D">
        <w:rPr>
          <w:rFonts w:eastAsia="宋体..閰繷." w:cs="Times New Roman" w:hint="eastAsia"/>
          <w:szCs w:val="18"/>
        </w:rPr>
        <w:t>以内。</w:t>
      </w:r>
    </w:p>
    <w:p w14:paraId="01E51B5F" w14:textId="669592FC" w:rsidR="004C4D5D" w:rsidRDefault="004C4D5D" w:rsidP="004C4D5D">
      <w:pPr>
        <w:spacing w:beforeLines="50" w:before="120" w:afterLines="50" w:after="120" w:line="276" w:lineRule="auto"/>
        <w:jc w:val="both"/>
        <w:rPr>
          <w:rFonts w:eastAsia="宋体..閰繷." w:cs="Times New Roman"/>
          <w:szCs w:val="18"/>
        </w:rPr>
      </w:pPr>
      <w:r>
        <w:rPr>
          <w:rFonts w:eastAsia="宋体..閰繷." w:cs="Times New Roman" w:hint="eastAsia"/>
          <w:szCs w:val="18"/>
        </w:rPr>
        <w:lastRenderedPageBreak/>
        <w:t>公司持续优化资本开支结构，</w:t>
      </w:r>
      <w:r>
        <w:rPr>
          <w:rFonts w:eastAsia="宋体..閰繷." w:cs="Times New Roman" w:hint="eastAsia"/>
          <w:szCs w:val="18"/>
        </w:rPr>
        <w:t>2</w:t>
      </w:r>
      <w:r>
        <w:rPr>
          <w:rFonts w:eastAsia="宋体..閰繷." w:cs="Times New Roman"/>
          <w:szCs w:val="18"/>
        </w:rPr>
        <w:t>023</w:t>
      </w:r>
      <w:r>
        <w:rPr>
          <w:rFonts w:eastAsia="宋体..閰繷." w:cs="Times New Roman" w:hint="eastAsia"/>
          <w:szCs w:val="18"/>
        </w:rPr>
        <w:t>年</w:t>
      </w:r>
      <w:r w:rsidRPr="004C4D5D">
        <w:rPr>
          <w:rFonts w:eastAsia="宋体..閰繷." w:cs="Times New Roman" w:hint="eastAsia"/>
          <w:szCs w:val="18"/>
        </w:rPr>
        <w:t>5G</w:t>
      </w:r>
      <w:r w:rsidRPr="004C4D5D">
        <w:rPr>
          <w:rFonts w:eastAsia="宋体..閰繷." w:cs="Times New Roman" w:hint="eastAsia"/>
          <w:szCs w:val="18"/>
        </w:rPr>
        <w:t>网络</w:t>
      </w:r>
      <w:r>
        <w:rPr>
          <w:rFonts w:eastAsia="宋体..閰繷." w:cs="Times New Roman" w:hint="eastAsia"/>
          <w:szCs w:val="18"/>
        </w:rPr>
        <w:t>资本开支</w:t>
      </w:r>
      <w:r w:rsidRPr="004C4D5D">
        <w:rPr>
          <w:rFonts w:eastAsia="宋体..閰繷." w:cs="Times New Roman" w:hint="eastAsia"/>
          <w:szCs w:val="18"/>
        </w:rPr>
        <w:t>预计为</w:t>
      </w:r>
      <w:r w:rsidRPr="004C4D5D">
        <w:rPr>
          <w:rFonts w:eastAsia="宋体..閰繷." w:cs="Times New Roman" w:hint="eastAsia"/>
          <w:szCs w:val="18"/>
        </w:rPr>
        <w:t>830</w:t>
      </w:r>
      <w:r>
        <w:rPr>
          <w:rFonts w:eastAsia="宋体..閰繷." w:cs="Times New Roman" w:hint="eastAsia"/>
          <w:szCs w:val="18"/>
        </w:rPr>
        <w:t>亿元，同比下降</w:t>
      </w:r>
      <w:r w:rsidRPr="004C4D5D">
        <w:rPr>
          <w:rFonts w:eastAsia="宋体..閰繷." w:cs="Times New Roman" w:hint="eastAsia"/>
          <w:szCs w:val="18"/>
        </w:rPr>
        <w:t>13.5%</w:t>
      </w:r>
      <w:r>
        <w:rPr>
          <w:rFonts w:eastAsia="宋体..閰繷." w:cs="Times New Roman" w:hint="eastAsia"/>
          <w:szCs w:val="18"/>
        </w:rPr>
        <w:t>。由于</w:t>
      </w:r>
      <w:r w:rsidRPr="004C4D5D">
        <w:rPr>
          <w:rFonts w:eastAsia="宋体..閰繷." w:cs="Times New Roman" w:hint="eastAsia"/>
          <w:szCs w:val="18"/>
        </w:rPr>
        <w:t>城郊农村</w:t>
      </w:r>
      <w:r>
        <w:rPr>
          <w:rFonts w:eastAsia="宋体..閰繷." w:cs="Times New Roman" w:hint="eastAsia"/>
          <w:szCs w:val="18"/>
        </w:rPr>
        <w:t>主干</w:t>
      </w:r>
      <w:r w:rsidRPr="004C4D5D">
        <w:rPr>
          <w:rFonts w:eastAsia="宋体..閰繷." w:cs="Times New Roman" w:hint="eastAsia"/>
          <w:szCs w:val="18"/>
        </w:rPr>
        <w:t>网络建设基本完成</w:t>
      </w:r>
      <w:r>
        <w:rPr>
          <w:rFonts w:eastAsia="宋体..閰繷." w:cs="Times New Roman" w:hint="eastAsia"/>
          <w:szCs w:val="18"/>
        </w:rPr>
        <w:t>，</w:t>
      </w:r>
      <w:r>
        <w:rPr>
          <w:rFonts w:eastAsia="宋体..閰繷." w:cs="Times New Roman" w:hint="eastAsia"/>
          <w:szCs w:val="18"/>
        </w:rPr>
        <w:t>2</w:t>
      </w:r>
      <w:r>
        <w:rPr>
          <w:rFonts w:eastAsia="宋体..閰繷." w:cs="Times New Roman"/>
          <w:szCs w:val="18"/>
        </w:rPr>
        <w:t>023</w:t>
      </w:r>
      <w:r>
        <w:rPr>
          <w:rFonts w:eastAsia="宋体..閰繷." w:cs="Times New Roman" w:hint="eastAsia"/>
          <w:szCs w:val="18"/>
        </w:rPr>
        <w:t>年任务重点是</w:t>
      </w:r>
      <w:r w:rsidRPr="004C4D5D">
        <w:rPr>
          <w:rFonts w:eastAsia="宋体..閰繷." w:cs="Times New Roman" w:hint="eastAsia"/>
          <w:szCs w:val="18"/>
        </w:rPr>
        <w:t>5G</w:t>
      </w:r>
      <w:r>
        <w:rPr>
          <w:rFonts w:eastAsia="宋体..閰繷." w:cs="Times New Roman" w:hint="eastAsia"/>
          <w:szCs w:val="18"/>
        </w:rPr>
        <w:t>网络的加密补盲</w:t>
      </w:r>
      <w:r w:rsidRPr="004C4D5D">
        <w:rPr>
          <w:rFonts w:eastAsia="宋体..閰繷." w:cs="Times New Roman" w:hint="eastAsia"/>
          <w:szCs w:val="18"/>
        </w:rPr>
        <w:t>。</w:t>
      </w:r>
      <w:r>
        <w:rPr>
          <w:rFonts w:eastAsia="宋体..閰繷." w:cs="Times New Roman" w:hint="eastAsia"/>
          <w:szCs w:val="18"/>
        </w:rPr>
        <w:t>同时加大算力领域资本开支，</w:t>
      </w:r>
      <w:r>
        <w:rPr>
          <w:rFonts w:eastAsia="宋体..閰繷." w:cs="Times New Roman" w:hint="eastAsia"/>
          <w:szCs w:val="18"/>
        </w:rPr>
        <w:t>2</w:t>
      </w:r>
      <w:r>
        <w:rPr>
          <w:rFonts w:eastAsia="宋体..閰繷." w:cs="Times New Roman"/>
          <w:szCs w:val="18"/>
        </w:rPr>
        <w:t>023</w:t>
      </w:r>
      <w:r>
        <w:rPr>
          <w:rFonts w:eastAsia="宋体..閰繷." w:cs="Times New Roman" w:hint="eastAsia"/>
          <w:szCs w:val="18"/>
        </w:rPr>
        <w:t>年</w:t>
      </w:r>
      <w:r w:rsidRPr="004C4D5D">
        <w:rPr>
          <w:rFonts w:eastAsia="宋体..閰繷." w:cs="Times New Roman" w:hint="eastAsia"/>
          <w:szCs w:val="18"/>
        </w:rPr>
        <w:t>预计</w:t>
      </w:r>
      <w:r>
        <w:rPr>
          <w:rFonts w:eastAsia="宋体..閰繷." w:cs="Times New Roman" w:hint="eastAsia"/>
          <w:szCs w:val="18"/>
        </w:rPr>
        <w:t>将</w:t>
      </w:r>
      <w:r w:rsidRPr="004C4D5D">
        <w:rPr>
          <w:rFonts w:eastAsia="宋体..閰繷." w:cs="Times New Roman" w:hint="eastAsia"/>
          <w:szCs w:val="18"/>
        </w:rPr>
        <w:t>达到</w:t>
      </w:r>
      <w:r w:rsidRPr="004C4D5D">
        <w:rPr>
          <w:rFonts w:eastAsia="宋体..閰繷." w:cs="Times New Roman" w:hint="eastAsia"/>
          <w:szCs w:val="18"/>
        </w:rPr>
        <w:t>452</w:t>
      </w:r>
      <w:r>
        <w:rPr>
          <w:rFonts w:eastAsia="宋体..閰繷." w:cs="Times New Roman" w:hint="eastAsia"/>
          <w:szCs w:val="18"/>
        </w:rPr>
        <w:t>亿元，同比增长</w:t>
      </w:r>
      <w:r w:rsidRPr="004C4D5D">
        <w:rPr>
          <w:rFonts w:eastAsia="宋体..閰繷." w:cs="Times New Roman" w:hint="eastAsia"/>
          <w:szCs w:val="18"/>
        </w:rPr>
        <w:t>34.9%</w:t>
      </w:r>
      <w:r w:rsidR="00A624A4">
        <w:rPr>
          <w:rFonts w:eastAsia="宋体..閰繷." w:cs="Times New Roman" w:hint="eastAsia"/>
          <w:szCs w:val="18"/>
        </w:rPr>
        <w:t>，公司</w:t>
      </w:r>
      <w:r w:rsidRPr="004C4D5D">
        <w:rPr>
          <w:rFonts w:eastAsia="宋体..閰繷." w:cs="Times New Roman" w:hint="eastAsia"/>
          <w:szCs w:val="18"/>
        </w:rPr>
        <w:t>持续优化“</w:t>
      </w:r>
      <w:r w:rsidRPr="004C4D5D">
        <w:rPr>
          <w:rFonts w:eastAsia="宋体..閰繷." w:cs="Times New Roman" w:hint="eastAsia"/>
          <w:szCs w:val="18"/>
        </w:rPr>
        <w:t>4+N+31+X</w:t>
      </w:r>
      <w:r w:rsidRPr="004C4D5D">
        <w:rPr>
          <w:rFonts w:eastAsia="宋体..閰繷." w:cs="Times New Roman" w:hint="eastAsia"/>
          <w:szCs w:val="18"/>
        </w:rPr>
        <w:t>”集约化梯次布局，计划</w:t>
      </w:r>
      <w:r w:rsidRPr="004C4D5D">
        <w:rPr>
          <w:rFonts w:eastAsia="宋体..閰繷." w:cs="Times New Roman" w:hint="eastAsia"/>
          <w:szCs w:val="18"/>
        </w:rPr>
        <w:t>2023</w:t>
      </w:r>
      <w:r w:rsidRPr="004C4D5D">
        <w:rPr>
          <w:rFonts w:eastAsia="宋体..閰繷." w:cs="Times New Roman" w:hint="eastAsia"/>
          <w:szCs w:val="18"/>
        </w:rPr>
        <w:t>年新增投产云服务器超过</w:t>
      </w:r>
      <w:r w:rsidRPr="004C4D5D">
        <w:rPr>
          <w:rFonts w:eastAsia="宋体..閰繷." w:cs="Times New Roman" w:hint="eastAsia"/>
          <w:szCs w:val="18"/>
        </w:rPr>
        <w:t>24</w:t>
      </w:r>
      <w:r w:rsidRPr="004C4D5D">
        <w:rPr>
          <w:rFonts w:eastAsia="宋体..閰繷." w:cs="Times New Roman" w:hint="eastAsia"/>
          <w:szCs w:val="18"/>
        </w:rPr>
        <w:t>万台，对外可用</w:t>
      </w:r>
      <w:r w:rsidRPr="004C4D5D">
        <w:rPr>
          <w:rFonts w:eastAsia="宋体..閰繷." w:cs="Times New Roman" w:hint="eastAsia"/>
          <w:szCs w:val="18"/>
        </w:rPr>
        <w:t>IDC</w:t>
      </w:r>
      <w:r w:rsidRPr="004C4D5D">
        <w:rPr>
          <w:rFonts w:eastAsia="宋体..閰繷." w:cs="Times New Roman" w:hint="eastAsia"/>
          <w:szCs w:val="18"/>
        </w:rPr>
        <w:t>机架新增超</w:t>
      </w:r>
      <w:r w:rsidRPr="004C4D5D">
        <w:rPr>
          <w:rFonts w:eastAsia="宋体..閰繷." w:cs="Times New Roman" w:hint="eastAsia"/>
          <w:szCs w:val="18"/>
        </w:rPr>
        <w:t>4</w:t>
      </w:r>
      <w:r w:rsidRPr="004C4D5D">
        <w:rPr>
          <w:rFonts w:eastAsia="宋体..閰繷." w:cs="Times New Roman" w:hint="eastAsia"/>
          <w:szCs w:val="18"/>
        </w:rPr>
        <w:t>万架。</w:t>
      </w:r>
    </w:p>
    <w:tbl>
      <w:tblPr>
        <w:tblW w:w="10463" w:type="dxa"/>
        <w:tblInd w:w="-2116" w:type="dxa"/>
        <w:tblLayout w:type="fixed"/>
        <w:tblLook w:val="04A0" w:firstRow="1" w:lastRow="0" w:firstColumn="1" w:lastColumn="0" w:noHBand="0" w:noVBand="1"/>
      </w:tblPr>
      <w:tblGrid>
        <w:gridCol w:w="5131"/>
        <w:gridCol w:w="242"/>
        <w:gridCol w:w="5090"/>
      </w:tblGrid>
      <w:tr w:rsidR="004C4D5D" w:rsidRPr="00490D55" w14:paraId="65E2B7AF" w14:textId="77777777" w:rsidTr="008C2AC9">
        <w:trPr>
          <w:trHeight w:val="279"/>
        </w:trPr>
        <w:tc>
          <w:tcPr>
            <w:tcW w:w="5131" w:type="dxa"/>
            <w:tcBorders>
              <w:top w:val="nil"/>
              <w:left w:val="nil"/>
              <w:bottom w:val="single" w:sz="4" w:space="0" w:color="auto"/>
              <w:right w:val="nil"/>
            </w:tcBorders>
            <w:vAlign w:val="center"/>
            <w:hideMark/>
          </w:tcPr>
          <w:p w14:paraId="1B66678B" w14:textId="6595A4A0" w:rsidR="004C4D5D" w:rsidRPr="006942B3" w:rsidRDefault="005762FC" w:rsidP="008C2AC9">
            <w:pPr>
              <w:pStyle w:val="a3"/>
              <w:spacing w:line="276" w:lineRule="auto"/>
              <w:ind w:leftChars="-54" w:left="-97"/>
              <w:rPr>
                <w:sz w:val="18"/>
                <w:szCs w:val="18"/>
                <w:lang w:eastAsia="zh-CN"/>
              </w:rPr>
            </w:pPr>
            <w:r w:rsidRPr="00D4203B">
              <w:rPr>
                <w:rFonts w:asciiTheme="majorEastAsia" w:eastAsiaTheme="majorEastAsia" w:hAnsiTheme="majorEastAsia" w:hint="eastAsia"/>
                <w:color w:val="auto"/>
                <w:sz w:val="18"/>
                <w:szCs w:val="18"/>
                <w:lang w:eastAsia="zh-CN"/>
              </w:rPr>
              <w:t xml:space="preserve">图表 </w:t>
            </w:r>
            <w:r w:rsidRPr="00D4203B">
              <w:rPr>
                <w:rFonts w:asciiTheme="majorEastAsia" w:eastAsiaTheme="majorEastAsia" w:hAnsiTheme="majorEastAsia"/>
                <w:color w:val="auto"/>
                <w:sz w:val="18"/>
                <w:szCs w:val="18"/>
                <w:lang w:eastAsia="zh-CN"/>
              </w:rPr>
              <w:fldChar w:fldCharType="begin"/>
            </w:r>
            <w:r w:rsidRPr="00D4203B">
              <w:rPr>
                <w:rFonts w:asciiTheme="majorEastAsia" w:eastAsiaTheme="majorEastAsia" w:hAnsiTheme="majorEastAsia"/>
                <w:color w:val="auto"/>
                <w:sz w:val="18"/>
                <w:szCs w:val="18"/>
                <w:lang w:eastAsia="zh-CN"/>
              </w:rPr>
              <w:instrText xml:space="preserve"> </w:instrText>
            </w:r>
            <w:r w:rsidRPr="00D4203B">
              <w:rPr>
                <w:rFonts w:asciiTheme="majorEastAsia" w:eastAsiaTheme="majorEastAsia" w:hAnsiTheme="majorEastAsia" w:hint="eastAsia"/>
                <w:color w:val="auto"/>
                <w:sz w:val="18"/>
                <w:szCs w:val="18"/>
                <w:lang w:eastAsia="zh-CN"/>
              </w:rPr>
              <w:instrText>SEQ 图表 \* ARABIC</w:instrText>
            </w:r>
            <w:r w:rsidRPr="00D4203B">
              <w:rPr>
                <w:rFonts w:asciiTheme="majorEastAsia" w:eastAsiaTheme="majorEastAsia" w:hAnsiTheme="majorEastAsia"/>
                <w:color w:val="auto"/>
                <w:sz w:val="18"/>
                <w:szCs w:val="18"/>
                <w:lang w:eastAsia="zh-CN"/>
              </w:rPr>
              <w:instrText xml:space="preserve"> </w:instrText>
            </w:r>
            <w:r w:rsidRPr="00D4203B">
              <w:rPr>
                <w:rFonts w:asciiTheme="majorEastAsia" w:eastAsiaTheme="majorEastAsia" w:hAnsiTheme="majorEastAsia"/>
                <w:color w:val="auto"/>
                <w:sz w:val="18"/>
                <w:szCs w:val="18"/>
                <w:lang w:eastAsia="zh-CN"/>
              </w:rPr>
              <w:fldChar w:fldCharType="separate"/>
            </w:r>
            <w:r w:rsidRPr="00D4203B">
              <w:rPr>
                <w:rFonts w:asciiTheme="majorEastAsia" w:eastAsiaTheme="majorEastAsia" w:hAnsiTheme="majorEastAsia"/>
                <w:color w:val="auto"/>
                <w:sz w:val="18"/>
                <w:szCs w:val="18"/>
                <w:lang w:eastAsia="zh-CN"/>
              </w:rPr>
              <w:t>5</w:t>
            </w:r>
            <w:r w:rsidRPr="00D4203B">
              <w:rPr>
                <w:rFonts w:asciiTheme="majorEastAsia" w:eastAsiaTheme="majorEastAsia" w:hAnsiTheme="majorEastAsia"/>
                <w:color w:val="auto"/>
                <w:sz w:val="18"/>
                <w:szCs w:val="18"/>
                <w:lang w:eastAsia="zh-CN"/>
              </w:rPr>
              <w:fldChar w:fldCharType="end"/>
            </w:r>
            <w:r w:rsidRPr="00D4203B">
              <w:rPr>
                <w:rFonts w:asciiTheme="majorEastAsia" w:eastAsiaTheme="majorEastAsia" w:hAnsiTheme="majorEastAsia" w:hint="eastAsia"/>
                <w:color w:val="auto"/>
                <w:sz w:val="18"/>
                <w:szCs w:val="18"/>
                <w:lang w:eastAsia="zh-CN"/>
              </w:rPr>
              <w:t>：</w:t>
            </w:r>
            <w:r w:rsidR="00F735C6" w:rsidRPr="00D4203B">
              <w:rPr>
                <w:rFonts w:asciiTheme="majorEastAsia" w:eastAsiaTheme="majorEastAsia" w:hAnsiTheme="majorEastAsia" w:hint="eastAsia"/>
                <w:color w:val="auto"/>
                <w:sz w:val="18"/>
                <w:szCs w:val="18"/>
                <w:lang w:eastAsia="zh-CN"/>
              </w:rPr>
              <w:t>中国移动主要营业成本项占营收比重</w:t>
            </w:r>
          </w:p>
        </w:tc>
        <w:tc>
          <w:tcPr>
            <w:tcW w:w="242" w:type="dxa"/>
            <w:vAlign w:val="center"/>
          </w:tcPr>
          <w:p w14:paraId="429EED47" w14:textId="77777777" w:rsidR="004C4D5D" w:rsidRPr="00D4203B" w:rsidRDefault="004C4D5D" w:rsidP="00D4203B">
            <w:pPr>
              <w:pStyle w:val="a3"/>
              <w:spacing w:line="276" w:lineRule="auto"/>
              <w:ind w:leftChars="-54" w:left="-97"/>
              <w:rPr>
                <w:rFonts w:asciiTheme="majorEastAsia" w:eastAsiaTheme="majorEastAsia" w:hAnsiTheme="majorEastAsia"/>
                <w:color w:val="auto"/>
                <w:sz w:val="18"/>
                <w:szCs w:val="18"/>
                <w:lang w:eastAsia="zh-CN"/>
              </w:rPr>
            </w:pPr>
          </w:p>
        </w:tc>
        <w:tc>
          <w:tcPr>
            <w:tcW w:w="5090" w:type="dxa"/>
            <w:tcBorders>
              <w:top w:val="nil"/>
              <w:left w:val="nil"/>
              <w:bottom w:val="single" w:sz="4" w:space="0" w:color="auto"/>
              <w:right w:val="nil"/>
            </w:tcBorders>
            <w:vAlign w:val="center"/>
            <w:hideMark/>
          </w:tcPr>
          <w:p w14:paraId="660195F5" w14:textId="529C2219" w:rsidR="004C4D5D" w:rsidRPr="00D4203B" w:rsidRDefault="005762FC" w:rsidP="00D4203B">
            <w:pPr>
              <w:pStyle w:val="a3"/>
              <w:spacing w:line="276" w:lineRule="auto"/>
              <w:ind w:leftChars="-54" w:left="-97"/>
              <w:rPr>
                <w:rFonts w:asciiTheme="majorEastAsia" w:eastAsiaTheme="majorEastAsia" w:hAnsiTheme="majorEastAsia"/>
                <w:color w:val="auto"/>
                <w:sz w:val="18"/>
                <w:szCs w:val="18"/>
                <w:lang w:eastAsia="zh-CN"/>
              </w:rPr>
            </w:pPr>
            <w:r w:rsidRPr="00D4203B">
              <w:rPr>
                <w:rFonts w:asciiTheme="majorEastAsia" w:eastAsiaTheme="majorEastAsia" w:hAnsiTheme="majorEastAsia" w:hint="eastAsia"/>
                <w:color w:val="auto"/>
                <w:sz w:val="18"/>
                <w:szCs w:val="18"/>
                <w:lang w:eastAsia="zh-CN"/>
              </w:rPr>
              <w:t xml:space="preserve">图表 </w:t>
            </w:r>
            <w:r w:rsidRPr="00D4203B">
              <w:rPr>
                <w:rFonts w:asciiTheme="majorEastAsia" w:eastAsiaTheme="majorEastAsia" w:hAnsiTheme="majorEastAsia"/>
                <w:color w:val="auto"/>
                <w:sz w:val="18"/>
                <w:szCs w:val="18"/>
                <w:lang w:eastAsia="zh-CN"/>
              </w:rPr>
              <w:fldChar w:fldCharType="begin"/>
            </w:r>
            <w:r w:rsidRPr="00D4203B">
              <w:rPr>
                <w:rFonts w:asciiTheme="majorEastAsia" w:eastAsiaTheme="majorEastAsia" w:hAnsiTheme="majorEastAsia"/>
                <w:color w:val="auto"/>
                <w:sz w:val="18"/>
                <w:szCs w:val="18"/>
                <w:lang w:eastAsia="zh-CN"/>
              </w:rPr>
              <w:instrText xml:space="preserve"> </w:instrText>
            </w:r>
            <w:r w:rsidRPr="00D4203B">
              <w:rPr>
                <w:rFonts w:asciiTheme="majorEastAsia" w:eastAsiaTheme="majorEastAsia" w:hAnsiTheme="majorEastAsia" w:hint="eastAsia"/>
                <w:color w:val="auto"/>
                <w:sz w:val="18"/>
                <w:szCs w:val="18"/>
                <w:lang w:eastAsia="zh-CN"/>
              </w:rPr>
              <w:instrText>SEQ 图表 \* ARABIC</w:instrText>
            </w:r>
            <w:r w:rsidRPr="00D4203B">
              <w:rPr>
                <w:rFonts w:asciiTheme="majorEastAsia" w:eastAsiaTheme="majorEastAsia" w:hAnsiTheme="majorEastAsia"/>
                <w:color w:val="auto"/>
                <w:sz w:val="18"/>
                <w:szCs w:val="18"/>
                <w:lang w:eastAsia="zh-CN"/>
              </w:rPr>
              <w:instrText xml:space="preserve"> </w:instrText>
            </w:r>
            <w:r w:rsidRPr="00D4203B">
              <w:rPr>
                <w:rFonts w:asciiTheme="majorEastAsia" w:eastAsiaTheme="majorEastAsia" w:hAnsiTheme="majorEastAsia"/>
                <w:color w:val="auto"/>
                <w:sz w:val="18"/>
                <w:szCs w:val="18"/>
                <w:lang w:eastAsia="zh-CN"/>
              </w:rPr>
              <w:fldChar w:fldCharType="separate"/>
            </w:r>
            <w:r w:rsidRPr="00D4203B">
              <w:rPr>
                <w:rFonts w:asciiTheme="majorEastAsia" w:eastAsiaTheme="majorEastAsia" w:hAnsiTheme="majorEastAsia"/>
                <w:color w:val="auto"/>
                <w:sz w:val="18"/>
                <w:szCs w:val="18"/>
                <w:lang w:eastAsia="zh-CN"/>
              </w:rPr>
              <w:t>6</w:t>
            </w:r>
            <w:r w:rsidRPr="00D4203B">
              <w:rPr>
                <w:rFonts w:asciiTheme="majorEastAsia" w:eastAsiaTheme="majorEastAsia" w:hAnsiTheme="majorEastAsia"/>
                <w:color w:val="auto"/>
                <w:sz w:val="18"/>
                <w:szCs w:val="18"/>
                <w:lang w:eastAsia="zh-CN"/>
              </w:rPr>
              <w:fldChar w:fldCharType="end"/>
            </w:r>
            <w:r w:rsidR="004C4D5D" w:rsidRPr="00D4203B">
              <w:rPr>
                <w:rFonts w:asciiTheme="majorEastAsia" w:eastAsiaTheme="majorEastAsia" w:hAnsiTheme="majorEastAsia" w:hint="eastAsia"/>
                <w:color w:val="auto"/>
                <w:sz w:val="18"/>
                <w:szCs w:val="18"/>
                <w:lang w:eastAsia="zh-CN"/>
              </w:rPr>
              <w:t>：</w:t>
            </w:r>
            <w:r w:rsidR="00F735C6" w:rsidRPr="00D4203B">
              <w:rPr>
                <w:rFonts w:asciiTheme="majorEastAsia" w:eastAsiaTheme="majorEastAsia" w:hAnsiTheme="majorEastAsia" w:hint="eastAsia"/>
                <w:color w:val="auto"/>
                <w:sz w:val="18"/>
                <w:szCs w:val="18"/>
                <w:lang w:eastAsia="zh-CN"/>
              </w:rPr>
              <w:t>中国移动</w:t>
            </w:r>
            <w:r w:rsidR="00F5732E" w:rsidRPr="00D4203B">
              <w:rPr>
                <w:rFonts w:asciiTheme="majorEastAsia" w:eastAsiaTheme="majorEastAsia" w:hAnsiTheme="majorEastAsia" w:hint="eastAsia"/>
                <w:color w:val="auto"/>
                <w:sz w:val="18"/>
                <w:szCs w:val="18"/>
                <w:lang w:eastAsia="zh-CN"/>
              </w:rPr>
              <w:t>的</w:t>
            </w:r>
            <w:r w:rsidR="00A46DD5" w:rsidRPr="00D4203B">
              <w:rPr>
                <w:rFonts w:asciiTheme="majorEastAsia" w:eastAsiaTheme="majorEastAsia" w:hAnsiTheme="majorEastAsia" w:hint="eastAsia"/>
                <w:color w:val="auto"/>
                <w:sz w:val="18"/>
                <w:szCs w:val="18"/>
                <w:lang w:eastAsia="zh-CN"/>
              </w:rPr>
              <w:t>资本开支</w:t>
            </w:r>
            <w:r w:rsidR="00D232FC" w:rsidRPr="00D4203B">
              <w:rPr>
                <w:rFonts w:asciiTheme="majorEastAsia" w:eastAsiaTheme="majorEastAsia" w:hAnsiTheme="majorEastAsia" w:hint="eastAsia"/>
                <w:color w:val="auto"/>
                <w:sz w:val="18"/>
                <w:szCs w:val="18"/>
                <w:lang w:eastAsia="zh-CN"/>
              </w:rPr>
              <w:t>结构变化</w:t>
            </w:r>
            <w:r w:rsidR="00F735C6" w:rsidRPr="00D4203B">
              <w:rPr>
                <w:rFonts w:asciiTheme="majorEastAsia" w:eastAsiaTheme="majorEastAsia" w:hAnsiTheme="majorEastAsia" w:hint="eastAsia"/>
                <w:color w:val="auto"/>
                <w:sz w:val="18"/>
                <w:szCs w:val="18"/>
                <w:lang w:eastAsia="zh-CN"/>
              </w:rPr>
              <w:t>（单位：</w:t>
            </w:r>
            <w:r w:rsidR="00A46DD5" w:rsidRPr="00D4203B">
              <w:rPr>
                <w:rFonts w:asciiTheme="majorEastAsia" w:eastAsiaTheme="majorEastAsia" w:hAnsiTheme="majorEastAsia" w:hint="eastAsia"/>
                <w:color w:val="auto"/>
                <w:sz w:val="18"/>
                <w:szCs w:val="18"/>
                <w:lang w:eastAsia="zh-CN"/>
              </w:rPr>
              <w:t>亿</w:t>
            </w:r>
            <w:r w:rsidR="00F735C6" w:rsidRPr="00D4203B">
              <w:rPr>
                <w:rFonts w:asciiTheme="majorEastAsia" w:eastAsiaTheme="majorEastAsia" w:hAnsiTheme="majorEastAsia" w:hint="eastAsia"/>
                <w:color w:val="auto"/>
                <w:sz w:val="18"/>
                <w:szCs w:val="18"/>
                <w:lang w:eastAsia="zh-CN"/>
              </w:rPr>
              <w:t>元）</w:t>
            </w:r>
          </w:p>
        </w:tc>
      </w:tr>
      <w:tr w:rsidR="004C4D5D" w:rsidRPr="009B1FB9" w14:paraId="6FF706D2" w14:textId="77777777" w:rsidTr="001545D4">
        <w:trPr>
          <w:trHeight w:hRule="exact" w:val="3657"/>
        </w:trPr>
        <w:tc>
          <w:tcPr>
            <w:tcW w:w="5131" w:type="dxa"/>
            <w:tcBorders>
              <w:top w:val="single" w:sz="4" w:space="0" w:color="auto"/>
              <w:left w:val="nil"/>
              <w:bottom w:val="single" w:sz="4" w:space="0" w:color="auto"/>
              <w:right w:val="nil"/>
            </w:tcBorders>
            <w:vAlign w:val="center"/>
          </w:tcPr>
          <w:p w14:paraId="45ADB30E" w14:textId="473207C5" w:rsidR="004C4D5D" w:rsidRPr="009B1FB9" w:rsidRDefault="00006253" w:rsidP="008C2AC9">
            <w:pPr>
              <w:pStyle w:val="a"/>
              <w:spacing w:after="0" w:line="276" w:lineRule="auto"/>
              <w:ind w:leftChars="0" w:left="0"/>
              <w:jc w:val="center"/>
              <w:rPr>
                <w:rFonts w:cs="Arial"/>
                <w:lang w:eastAsia="zh-CN"/>
              </w:rPr>
            </w:pPr>
            <w:r>
              <w:rPr>
                <w:noProof/>
              </w:rPr>
              <w:drawing>
                <wp:inline distT="0" distB="0" distL="0" distR="0" wp14:anchorId="6560E383" wp14:editId="7D5E118F">
                  <wp:extent cx="3248025" cy="2219325"/>
                  <wp:effectExtent l="0" t="0" r="0" b="0"/>
                  <wp:docPr id="21" name="图表 21">
                    <a:extLst xmlns:a="http://schemas.openxmlformats.org/drawingml/2006/main">
                      <a:ext uri="{FF2B5EF4-FFF2-40B4-BE49-F238E27FC236}">
                        <a16:creationId xmlns:a16="http://schemas.microsoft.com/office/drawing/2014/main" id="{F7B10E1D-3792-46B5-B532-5CFC058D24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c>
          <w:tcPr>
            <w:tcW w:w="242" w:type="dxa"/>
            <w:vAlign w:val="center"/>
          </w:tcPr>
          <w:p w14:paraId="33BAEAF1" w14:textId="77777777" w:rsidR="004C4D5D" w:rsidRPr="009B1FB9" w:rsidRDefault="004C4D5D" w:rsidP="008C2AC9">
            <w:pPr>
              <w:pStyle w:val="a"/>
              <w:spacing w:after="0" w:line="276" w:lineRule="auto"/>
              <w:ind w:leftChars="0" w:left="0"/>
              <w:rPr>
                <w:rFonts w:cs="Arial"/>
                <w:lang w:eastAsia="zh-CN"/>
              </w:rPr>
            </w:pPr>
          </w:p>
        </w:tc>
        <w:tc>
          <w:tcPr>
            <w:tcW w:w="5090" w:type="dxa"/>
            <w:tcBorders>
              <w:top w:val="single" w:sz="4" w:space="0" w:color="auto"/>
              <w:left w:val="nil"/>
              <w:bottom w:val="single" w:sz="4" w:space="0" w:color="auto"/>
              <w:right w:val="nil"/>
            </w:tcBorders>
            <w:vAlign w:val="center"/>
          </w:tcPr>
          <w:p w14:paraId="24D3E4A3" w14:textId="274A1B86" w:rsidR="004C4D5D" w:rsidRPr="009B1FB9" w:rsidRDefault="001545D4" w:rsidP="00D232FC">
            <w:pPr>
              <w:pStyle w:val="a"/>
              <w:spacing w:after="0" w:line="276" w:lineRule="auto"/>
              <w:ind w:leftChars="0" w:left="0"/>
              <w:rPr>
                <w:rFonts w:cs="Arial"/>
                <w:lang w:eastAsia="zh-CN"/>
              </w:rPr>
            </w:pPr>
            <w:r>
              <w:rPr>
                <w:noProof/>
              </w:rPr>
              <w:drawing>
                <wp:inline distT="0" distB="0" distL="0" distR="0" wp14:anchorId="610EA2EB" wp14:editId="0A1D173B">
                  <wp:extent cx="3143250" cy="2238375"/>
                  <wp:effectExtent l="0" t="0" r="0" b="0"/>
                  <wp:docPr id="22" name="图表 22">
                    <a:extLst xmlns:a="http://schemas.openxmlformats.org/drawingml/2006/main">
                      <a:ext uri="{FF2B5EF4-FFF2-40B4-BE49-F238E27FC236}">
                        <a16:creationId xmlns:a16="http://schemas.microsoft.com/office/drawing/2014/main" id="{37E50597-EBBB-469B-89F8-0E72089B7F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r>
      <w:tr w:rsidR="004C4D5D" w:rsidRPr="00490D55" w14:paraId="3013C15F" w14:textId="77777777" w:rsidTr="008C2AC9">
        <w:trPr>
          <w:trHeight w:val="279"/>
        </w:trPr>
        <w:tc>
          <w:tcPr>
            <w:tcW w:w="5131" w:type="dxa"/>
            <w:tcBorders>
              <w:top w:val="single" w:sz="4" w:space="0" w:color="auto"/>
              <w:left w:val="nil"/>
              <w:bottom w:val="nil"/>
              <w:right w:val="nil"/>
            </w:tcBorders>
            <w:vAlign w:val="center"/>
            <w:hideMark/>
          </w:tcPr>
          <w:p w14:paraId="72CD9CAC" w14:textId="77777777" w:rsidR="004C4D5D" w:rsidRPr="00C66411" w:rsidRDefault="004C4D5D" w:rsidP="008C2AC9">
            <w:pPr>
              <w:pStyle w:val="a4"/>
              <w:spacing w:line="276" w:lineRule="auto"/>
              <w:ind w:leftChars="-54" w:left="-97"/>
            </w:pPr>
            <w:r w:rsidRPr="006269F1">
              <w:rPr>
                <w:rFonts w:asciiTheme="minorEastAsia" w:eastAsiaTheme="minorEastAsia" w:hAnsiTheme="minorEastAsia"/>
                <w:color w:val="auto"/>
                <w:sz w:val="15"/>
                <w:szCs w:val="15"/>
              </w:rPr>
              <w:t>数据来源：</w:t>
            </w:r>
            <w:r w:rsidRPr="006269F1">
              <w:rPr>
                <w:rFonts w:asciiTheme="minorEastAsia" w:eastAsiaTheme="minorEastAsia" w:hAnsiTheme="minorEastAsia" w:hint="eastAsia"/>
                <w:color w:val="auto"/>
                <w:sz w:val="15"/>
                <w:szCs w:val="15"/>
              </w:rPr>
              <w:t>公司财报，广发证券（香港）经纪财富研究</w:t>
            </w:r>
          </w:p>
        </w:tc>
        <w:tc>
          <w:tcPr>
            <w:tcW w:w="242" w:type="dxa"/>
            <w:vAlign w:val="center"/>
          </w:tcPr>
          <w:p w14:paraId="55007263" w14:textId="77777777" w:rsidR="004C4D5D" w:rsidRPr="006269F1" w:rsidRDefault="004C4D5D" w:rsidP="006269F1">
            <w:pPr>
              <w:pStyle w:val="a4"/>
              <w:spacing w:line="276" w:lineRule="auto"/>
              <w:ind w:leftChars="-54" w:left="-97"/>
              <w:rPr>
                <w:rFonts w:asciiTheme="minorEastAsia" w:eastAsiaTheme="minorEastAsia" w:hAnsiTheme="minorEastAsia"/>
                <w:color w:val="auto"/>
                <w:sz w:val="15"/>
                <w:szCs w:val="15"/>
              </w:rPr>
            </w:pPr>
          </w:p>
        </w:tc>
        <w:tc>
          <w:tcPr>
            <w:tcW w:w="5090" w:type="dxa"/>
            <w:tcBorders>
              <w:top w:val="single" w:sz="4" w:space="0" w:color="auto"/>
              <w:left w:val="nil"/>
              <w:bottom w:val="nil"/>
              <w:right w:val="nil"/>
            </w:tcBorders>
            <w:vAlign w:val="center"/>
            <w:hideMark/>
          </w:tcPr>
          <w:p w14:paraId="0D311C34" w14:textId="77777777" w:rsidR="004C4D5D" w:rsidRPr="006269F1" w:rsidRDefault="004C4D5D" w:rsidP="006269F1">
            <w:pPr>
              <w:pStyle w:val="a4"/>
              <w:spacing w:line="276" w:lineRule="auto"/>
              <w:ind w:leftChars="-54" w:left="-97"/>
              <w:rPr>
                <w:rFonts w:asciiTheme="minorEastAsia" w:eastAsiaTheme="minorEastAsia" w:hAnsiTheme="minorEastAsia"/>
                <w:color w:val="auto"/>
                <w:sz w:val="15"/>
                <w:szCs w:val="15"/>
              </w:rPr>
            </w:pPr>
            <w:r w:rsidRPr="006269F1">
              <w:rPr>
                <w:rFonts w:asciiTheme="minorEastAsia" w:eastAsiaTheme="minorEastAsia" w:hAnsiTheme="minorEastAsia"/>
                <w:color w:val="auto"/>
                <w:sz w:val="15"/>
                <w:szCs w:val="15"/>
              </w:rPr>
              <w:t>数据来源：</w:t>
            </w:r>
            <w:r w:rsidRPr="006269F1">
              <w:rPr>
                <w:rFonts w:asciiTheme="minorEastAsia" w:eastAsiaTheme="minorEastAsia" w:hAnsiTheme="minorEastAsia" w:hint="eastAsia"/>
                <w:color w:val="auto"/>
                <w:sz w:val="15"/>
                <w:szCs w:val="15"/>
              </w:rPr>
              <w:t>公司财报，广发证券（香港）经纪财富研究</w:t>
            </w:r>
          </w:p>
        </w:tc>
      </w:tr>
    </w:tbl>
    <w:p w14:paraId="7821EC22" w14:textId="0CAF5576" w:rsidR="004C4D5D" w:rsidRDefault="004C4D5D" w:rsidP="00EC032C">
      <w:pPr>
        <w:spacing w:beforeLines="50" w:before="120" w:afterLines="50" w:after="120" w:line="276" w:lineRule="auto"/>
        <w:jc w:val="both"/>
        <w:rPr>
          <w:rFonts w:eastAsia="宋体..閰繷." w:cs="Times New Roman"/>
          <w:szCs w:val="18"/>
        </w:rPr>
      </w:pPr>
    </w:p>
    <w:p w14:paraId="3D6E45E4" w14:textId="72E818C2" w:rsidR="002C4828" w:rsidRDefault="002C4828" w:rsidP="00EC032C">
      <w:pPr>
        <w:spacing w:beforeLines="50" w:before="120" w:afterLines="50" w:after="120" w:line="276" w:lineRule="auto"/>
        <w:jc w:val="both"/>
        <w:rPr>
          <w:rFonts w:eastAsia="宋体..閰繷." w:cs="Times New Roman"/>
          <w:b/>
          <w:bCs/>
          <w:sz w:val="28"/>
          <w:szCs w:val="28"/>
        </w:rPr>
      </w:pPr>
      <w:r>
        <w:rPr>
          <w:rFonts w:eastAsia="宋体..閰繷." w:cs="Times New Roman" w:hint="eastAsia"/>
          <w:b/>
          <w:bCs/>
          <w:sz w:val="28"/>
          <w:szCs w:val="28"/>
        </w:rPr>
        <w:t>四</w:t>
      </w:r>
      <w:r w:rsidRPr="000A7D1E">
        <w:rPr>
          <w:rFonts w:eastAsia="宋体..閰繷." w:cs="Times New Roman" w:hint="eastAsia"/>
          <w:b/>
          <w:bCs/>
          <w:sz w:val="28"/>
          <w:szCs w:val="28"/>
        </w:rPr>
        <w:t>、</w:t>
      </w:r>
      <w:r w:rsidRPr="002C4828">
        <w:rPr>
          <w:rFonts w:eastAsia="宋体..閰繷." w:cs="Times New Roman" w:hint="eastAsia"/>
          <w:b/>
          <w:bCs/>
          <w:sz w:val="28"/>
          <w:szCs w:val="28"/>
        </w:rPr>
        <w:t>盈利预测和投资建议：</w:t>
      </w:r>
    </w:p>
    <w:p w14:paraId="4D0ABC11" w14:textId="22278093" w:rsidR="002C4828" w:rsidRDefault="002C4828" w:rsidP="00EC032C">
      <w:pPr>
        <w:spacing w:beforeLines="50" w:before="120" w:afterLines="50" w:after="120" w:line="276" w:lineRule="auto"/>
        <w:jc w:val="both"/>
        <w:rPr>
          <w:rFonts w:eastAsia="宋体..閰繷." w:cs="Times New Roman"/>
          <w:szCs w:val="18"/>
        </w:rPr>
      </w:pPr>
      <w:r w:rsidRPr="002C4828">
        <w:rPr>
          <w:rFonts w:eastAsia="宋体..閰繷." w:cs="Times New Roman" w:hint="eastAsia"/>
          <w:szCs w:val="18"/>
        </w:rPr>
        <w:t>我们认为，公司系统打造以</w:t>
      </w:r>
      <w:r w:rsidRPr="002C4828">
        <w:rPr>
          <w:rFonts w:eastAsia="宋体..閰繷." w:cs="Times New Roman" w:hint="eastAsia"/>
          <w:szCs w:val="18"/>
        </w:rPr>
        <w:t>5G</w:t>
      </w:r>
      <w:r w:rsidRPr="002C4828">
        <w:rPr>
          <w:rFonts w:eastAsia="宋体..閰繷." w:cs="Times New Roman" w:hint="eastAsia"/>
          <w:szCs w:val="18"/>
        </w:rPr>
        <w:t>、算力网络、能力中台为重点的新型信息基础设施，创新构建“连接</w:t>
      </w:r>
      <w:r w:rsidRPr="002C4828">
        <w:rPr>
          <w:rFonts w:eastAsia="宋体..閰繷." w:cs="Times New Roman" w:hint="eastAsia"/>
          <w:szCs w:val="18"/>
        </w:rPr>
        <w:t>+</w:t>
      </w:r>
      <w:r w:rsidRPr="002C4828">
        <w:rPr>
          <w:rFonts w:eastAsia="宋体..閰繷." w:cs="Times New Roman" w:hint="eastAsia"/>
          <w:szCs w:val="18"/>
        </w:rPr>
        <w:t>算力</w:t>
      </w:r>
      <w:r w:rsidRPr="002C4828">
        <w:rPr>
          <w:rFonts w:eastAsia="宋体..閰繷." w:cs="Times New Roman" w:hint="eastAsia"/>
          <w:szCs w:val="18"/>
        </w:rPr>
        <w:t>+</w:t>
      </w:r>
      <w:r w:rsidRPr="002C4828">
        <w:rPr>
          <w:rFonts w:eastAsia="宋体..閰繷." w:cs="Times New Roman" w:hint="eastAsia"/>
          <w:szCs w:val="18"/>
        </w:rPr>
        <w:t>能力“新型信息服务体系，不断夯实数智底座，业绩持续稳健增长。</w:t>
      </w:r>
    </w:p>
    <w:p w14:paraId="6D1A1550" w14:textId="77777777" w:rsidR="007375B2" w:rsidRPr="007375B2" w:rsidRDefault="007375B2" w:rsidP="007375B2">
      <w:pPr>
        <w:spacing w:beforeLines="50" w:before="120" w:afterLines="50" w:after="120" w:line="276" w:lineRule="auto"/>
        <w:jc w:val="both"/>
        <w:rPr>
          <w:rFonts w:eastAsia="宋体..閰繷." w:cs="Times New Roman"/>
          <w:szCs w:val="18"/>
        </w:rPr>
      </w:pPr>
      <w:r w:rsidRPr="007375B2">
        <w:rPr>
          <w:rFonts w:eastAsia="宋体..閰繷." w:cs="Times New Roman" w:hint="eastAsia"/>
          <w:szCs w:val="18"/>
        </w:rPr>
        <w:t>假设：</w:t>
      </w:r>
    </w:p>
    <w:p w14:paraId="1CB0908E" w14:textId="49DA0B35" w:rsidR="007375B2" w:rsidRPr="007375B2" w:rsidRDefault="00687F53" w:rsidP="007375B2">
      <w:pPr>
        <w:numPr>
          <w:ilvl w:val="0"/>
          <w:numId w:val="7"/>
        </w:numPr>
        <w:spacing w:beforeLines="50" w:before="120" w:afterLines="50" w:after="120" w:line="276" w:lineRule="auto"/>
        <w:jc w:val="both"/>
        <w:rPr>
          <w:rFonts w:eastAsia="宋体..閰繷." w:cs="Times New Roman"/>
          <w:szCs w:val="18"/>
        </w:rPr>
      </w:pPr>
      <w:r>
        <w:rPr>
          <w:rFonts w:eastAsia="宋体..閰繷." w:cs="Times New Roman" w:hint="eastAsia"/>
          <w:szCs w:val="18"/>
        </w:rPr>
        <w:t>移动</w:t>
      </w:r>
      <w:r w:rsidRPr="00687F53">
        <w:rPr>
          <w:rFonts w:eastAsia="宋体..閰繷." w:cs="Times New Roman" w:hint="eastAsia"/>
          <w:szCs w:val="18"/>
        </w:rPr>
        <w:t>用户数量增长空间有限，</w:t>
      </w:r>
      <w:r w:rsidR="00EA7F62">
        <w:rPr>
          <w:rFonts w:eastAsia="宋体..閰繷." w:cs="Times New Roman" w:hint="eastAsia"/>
          <w:szCs w:val="18"/>
        </w:rPr>
        <w:t>5</w:t>
      </w:r>
      <w:r w:rsidR="00EA7F62">
        <w:rPr>
          <w:rFonts w:eastAsia="宋体..閰繷." w:cs="Times New Roman"/>
          <w:szCs w:val="18"/>
        </w:rPr>
        <w:t>G</w:t>
      </w:r>
      <w:r w:rsidR="00EA7F62">
        <w:rPr>
          <w:rFonts w:eastAsia="宋体..閰繷." w:cs="Times New Roman" w:hint="eastAsia"/>
          <w:szCs w:val="18"/>
        </w:rPr>
        <w:t>套餐渗透率</w:t>
      </w:r>
      <w:r>
        <w:rPr>
          <w:rFonts w:eastAsia="宋体..閰繷." w:cs="Times New Roman" w:hint="eastAsia"/>
          <w:szCs w:val="18"/>
        </w:rPr>
        <w:t>已经超过</w:t>
      </w:r>
      <w:r>
        <w:rPr>
          <w:rFonts w:eastAsia="宋体..閰繷." w:cs="Times New Roman" w:hint="eastAsia"/>
          <w:szCs w:val="18"/>
        </w:rPr>
        <w:t>6</w:t>
      </w:r>
      <w:r>
        <w:rPr>
          <w:rFonts w:eastAsia="宋体..閰繷." w:cs="Times New Roman"/>
          <w:szCs w:val="18"/>
        </w:rPr>
        <w:t>0%</w:t>
      </w:r>
      <w:r w:rsidR="007375B2" w:rsidRPr="007375B2">
        <w:rPr>
          <w:rFonts w:eastAsia="宋体..閰繷." w:cs="Times New Roman" w:hint="eastAsia"/>
          <w:szCs w:val="18"/>
        </w:rPr>
        <w:t>，</w:t>
      </w:r>
      <w:r>
        <w:rPr>
          <w:rFonts w:eastAsia="宋体..閰繷." w:cs="Times New Roman" w:hint="eastAsia"/>
          <w:szCs w:val="18"/>
        </w:rPr>
        <w:t>预计个人市场业务收入</w:t>
      </w:r>
      <w:r w:rsidR="00FD67C0">
        <w:rPr>
          <w:rFonts w:eastAsia="宋体..閰繷." w:cs="Times New Roman" w:hint="eastAsia"/>
          <w:szCs w:val="18"/>
        </w:rPr>
        <w:t>将</w:t>
      </w:r>
      <w:r w:rsidR="00EA7F62">
        <w:rPr>
          <w:rFonts w:eastAsia="宋体..閰繷." w:cs="Times New Roman" w:hint="eastAsia"/>
          <w:szCs w:val="18"/>
        </w:rPr>
        <w:t>保持平稳。</w:t>
      </w:r>
      <w:r w:rsidR="0030754F" w:rsidRPr="007375B2">
        <w:rPr>
          <w:rFonts w:eastAsia="宋体..閰繷." w:cs="Times New Roman"/>
          <w:szCs w:val="18"/>
        </w:rPr>
        <w:t xml:space="preserve"> </w:t>
      </w:r>
      <w:r w:rsidR="00EA7F62">
        <w:rPr>
          <w:rFonts w:eastAsia="宋体..閰繷." w:cs="Times New Roman" w:hint="eastAsia"/>
          <w:szCs w:val="18"/>
        </w:rPr>
        <w:t>家庭市场业务受</w:t>
      </w:r>
      <w:r w:rsidR="00EA7F62" w:rsidRPr="00EA7F62">
        <w:rPr>
          <w:rFonts w:eastAsia="宋体..閰繷." w:cs="Times New Roman" w:hint="eastAsia"/>
          <w:szCs w:val="18"/>
        </w:rPr>
        <w:t>宽带升级、智慧家庭生活消费</w:t>
      </w:r>
      <w:r w:rsidR="00FD67C0">
        <w:rPr>
          <w:rFonts w:eastAsia="宋体..閰繷." w:cs="Times New Roman" w:hint="eastAsia"/>
          <w:szCs w:val="18"/>
        </w:rPr>
        <w:t>的推动</w:t>
      </w:r>
      <w:r w:rsidR="00EA7F62">
        <w:rPr>
          <w:rFonts w:eastAsia="宋体..閰繷." w:cs="Times New Roman" w:hint="eastAsia"/>
          <w:szCs w:val="18"/>
        </w:rPr>
        <w:t>，</w:t>
      </w:r>
      <w:r>
        <w:rPr>
          <w:rFonts w:eastAsia="宋体..閰繷." w:cs="Times New Roman" w:hint="eastAsia"/>
          <w:szCs w:val="18"/>
        </w:rPr>
        <w:t>预计</w:t>
      </w:r>
      <w:r w:rsidR="00F935A0">
        <w:rPr>
          <w:rFonts w:eastAsia="宋体..閰繷." w:cs="Times New Roman" w:hint="eastAsia"/>
          <w:szCs w:val="18"/>
        </w:rPr>
        <w:t>收入</w:t>
      </w:r>
      <w:r w:rsidR="00FD67C0">
        <w:rPr>
          <w:rFonts w:eastAsia="宋体..閰繷." w:cs="Times New Roman" w:hint="eastAsia"/>
          <w:szCs w:val="18"/>
        </w:rPr>
        <w:t>将</w:t>
      </w:r>
      <w:r w:rsidR="00EA7F62">
        <w:rPr>
          <w:rFonts w:eastAsia="宋体..閰繷." w:cs="Times New Roman" w:hint="eastAsia"/>
          <w:szCs w:val="18"/>
        </w:rPr>
        <w:t>保持较快的增长速度。</w:t>
      </w:r>
    </w:p>
    <w:p w14:paraId="3CA6600B" w14:textId="71471059" w:rsidR="007375B2" w:rsidRPr="007375B2" w:rsidRDefault="00687F53" w:rsidP="007375B2">
      <w:pPr>
        <w:numPr>
          <w:ilvl w:val="0"/>
          <w:numId w:val="7"/>
        </w:numPr>
        <w:spacing w:beforeLines="50" w:before="120" w:afterLines="50" w:after="120" w:line="276" w:lineRule="auto"/>
        <w:jc w:val="both"/>
        <w:rPr>
          <w:rFonts w:eastAsia="宋体..閰繷." w:cs="Times New Roman"/>
          <w:szCs w:val="18"/>
        </w:rPr>
      </w:pPr>
      <w:r>
        <w:rPr>
          <w:rFonts w:eastAsia="宋体..閰繷." w:cs="Times New Roman" w:hint="eastAsia"/>
          <w:szCs w:val="18"/>
        </w:rPr>
        <w:t>政企市场业务在</w:t>
      </w:r>
      <w:r w:rsidRPr="000620FA">
        <w:rPr>
          <w:rFonts w:eastAsia="宋体..閰繷." w:cs="Times New Roman" w:hint="eastAsia"/>
          <w:szCs w:val="18"/>
        </w:rPr>
        <w:t>“网</w:t>
      </w:r>
      <w:r w:rsidRPr="000620FA">
        <w:rPr>
          <w:rFonts w:eastAsia="宋体..閰繷." w:cs="Times New Roman" w:hint="eastAsia"/>
          <w:szCs w:val="18"/>
        </w:rPr>
        <w:t>+</w:t>
      </w:r>
      <w:r w:rsidRPr="000620FA">
        <w:rPr>
          <w:rFonts w:eastAsia="宋体..閰繷." w:cs="Times New Roman" w:hint="eastAsia"/>
          <w:szCs w:val="18"/>
        </w:rPr>
        <w:t>云</w:t>
      </w:r>
      <w:r w:rsidRPr="000620FA">
        <w:rPr>
          <w:rFonts w:eastAsia="宋体..閰繷." w:cs="Times New Roman" w:hint="eastAsia"/>
          <w:szCs w:val="18"/>
        </w:rPr>
        <w:t>+DICT</w:t>
      </w:r>
      <w:r w:rsidRPr="000620FA">
        <w:rPr>
          <w:rFonts w:eastAsia="宋体..閰繷." w:cs="Times New Roman" w:hint="eastAsia"/>
          <w:szCs w:val="18"/>
        </w:rPr>
        <w:t>”</w:t>
      </w:r>
      <w:r>
        <w:rPr>
          <w:rFonts w:eastAsia="宋体..閰繷." w:cs="Times New Roman" w:hint="eastAsia"/>
          <w:szCs w:val="18"/>
        </w:rPr>
        <w:t>战略推动下，持续受益于数字经济政策落地，预计将保持高速增长。新兴市场业务</w:t>
      </w:r>
      <w:r w:rsidR="003B1C7E">
        <w:rPr>
          <w:rFonts w:eastAsia="宋体..閰繷." w:cs="Times New Roman" w:hint="eastAsia"/>
          <w:szCs w:val="18"/>
        </w:rPr>
        <w:t>受益于</w:t>
      </w:r>
      <w:r>
        <w:rPr>
          <w:rFonts w:eastAsia="宋体..閰繷." w:cs="Times New Roman" w:hint="eastAsia"/>
          <w:szCs w:val="18"/>
        </w:rPr>
        <w:t>数字内容和金融科技</w:t>
      </w:r>
      <w:r w:rsidR="00F935A0">
        <w:rPr>
          <w:rFonts w:eastAsia="宋体..閰繷." w:cs="Times New Roman" w:hint="eastAsia"/>
          <w:szCs w:val="18"/>
        </w:rPr>
        <w:t>等</w:t>
      </w:r>
      <w:r w:rsidR="003B1C7E">
        <w:rPr>
          <w:rFonts w:eastAsia="宋体..閰繷." w:cs="Times New Roman" w:hint="eastAsia"/>
          <w:szCs w:val="18"/>
        </w:rPr>
        <w:t>领域的发展，预计将保持较高的增速。</w:t>
      </w:r>
    </w:p>
    <w:p w14:paraId="55BF5246" w14:textId="371E635E" w:rsidR="007375B2" w:rsidRPr="00D4203B" w:rsidRDefault="007375B2" w:rsidP="007375B2">
      <w:pPr>
        <w:pStyle w:val="a3"/>
        <w:spacing w:line="276" w:lineRule="auto"/>
        <w:ind w:leftChars="-54" w:left="-97"/>
        <w:rPr>
          <w:rFonts w:asciiTheme="majorEastAsia" w:eastAsiaTheme="majorEastAsia" w:hAnsiTheme="majorEastAsia"/>
          <w:color w:val="auto"/>
          <w:sz w:val="18"/>
          <w:szCs w:val="18"/>
          <w:lang w:eastAsia="zh-CN"/>
        </w:rPr>
      </w:pPr>
      <w:bookmarkStart w:id="14" w:name="_Toc127975035"/>
      <w:r w:rsidRPr="00D4203B">
        <w:rPr>
          <w:rFonts w:asciiTheme="majorEastAsia" w:eastAsiaTheme="majorEastAsia" w:hAnsiTheme="majorEastAsia" w:hint="eastAsia"/>
          <w:color w:val="auto"/>
          <w:sz w:val="18"/>
          <w:szCs w:val="18"/>
          <w:lang w:eastAsia="zh-CN"/>
        </w:rPr>
        <w:t xml:space="preserve">图表 </w:t>
      </w:r>
      <w:r w:rsidRPr="00D4203B">
        <w:rPr>
          <w:rFonts w:asciiTheme="majorEastAsia" w:eastAsiaTheme="majorEastAsia" w:hAnsiTheme="majorEastAsia"/>
          <w:color w:val="auto"/>
          <w:sz w:val="18"/>
          <w:szCs w:val="18"/>
          <w:lang w:eastAsia="zh-CN"/>
        </w:rPr>
        <w:fldChar w:fldCharType="begin"/>
      </w:r>
      <w:r w:rsidRPr="00D4203B">
        <w:rPr>
          <w:rFonts w:asciiTheme="majorEastAsia" w:eastAsiaTheme="majorEastAsia" w:hAnsiTheme="majorEastAsia"/>
          <w:color w:val="auto"/>
          <w:sz w:val="18"/>
          <w:szCs w:val="18"/>
          <w:lang w:eastAsia="zh-CN"/>
        </w:rPr>
        <w:instrText xml:space="preserve"> </w:instrText>
      </w:r>
      <w:r w:rsidRPr="00D4203B">
        <w:rPr>
          <w:rFonts w:asciiTheme="majorEastAsia" w:eastAsiaTheme="majorEastAsia" w:hAnsiTheme="majorEastAsia" w:hint="eastAsia"/>
          <w:color w:val="auto"/>
          <w:sz w:val="18"/>
          <w:szCs w:val="18"/>
          <w:lang w:eastAsia="zh-CN"/>
        </w:rPr>
        <w:instrText>SEQ 图表 \* ARABIC</w:instrText>
      </w:r>
      <w:r w:rsidRPr="00D4203B">
        <w:rPr>
          <w:rFonts w:asciiTheme="majorEastAsia" w:eastAsiaTheme="majorEastAsia" w:hAnsiTheme="majorEastAsia"/>
          <w:color w:val="auto"/>
          <w:sz w:val="18"/>
          <w:szCs w:val="18"/>
          <w:lang w:eastAsia="zh-CN"/>
        </w:rPr>
        <w:instrText xml:space="preserve"> </w:instrText>
      </w:r>
      <w:r w:rsidRPr="00D4203B">
        <w:rPr>
          <w:rFonts w:asciiTheme="majorEastAsia" w:eastAsiaTheme="majorEastAsia" w:hAnsiTheme="majorEastAsia"/>
          <w:color w:val="auto"/>
          <w:sz w:val="18"/>
          <w:szCs w:val="18"/>
          <w:lang w:eastAsia="zh-CN"/>
        </w:rPr>
        <w:fldChar w:fldCharType="separate"/>
      </w:r>
      <w:r w:rsidR="005762FC" w:rsidRPr="00D4203B">
        <w:rPr>
          <w:rFonts w:asciiTheme="majorEastAsia" w:eastAsiaTheme="majorEastAsia" w:hAnsiTheme="majorEastAsia"/>
          <w:color w:val="auto"/>
          <w:sz w:val="18"/>
          <w:szCs w:val="18"/>
          <w:lang w:eastAsia="zh-CN"/>
        </w:rPr>
        <w:t>7</w:t>
      </w:r>
      <w:r w:rsidRPr="00D4203B">
        <w:rPr>
          <w:rFonts w:asciiTheme="majorEastAsia" w:eastAsiaTheme="majorEastAsia" w:hAnsiTheme="majorEastAsia"/>
          <w:color w:val="auto"/>
          <w:sz w:val="18"/>
          <w:szCs w:val="18"/>
          <w:lang w:eastAsia="zh-CN"/>
        </w:rPr>
        <w:fldChar w:fldCharType="end"/>
      </w:r>
      <w:r w:rsidRPr="00D4203B">
        <w:rPr>
          <w:rFonts w:asciiTheme="majorEastAsia" w:eastAsiaTheme="majorEastAsia" w:hAnsiTheme="majorEastAsia" w:hint="eastAsia"/>
          <w:color w:val="auto"/>
          <w:sz w:val="18"/>
          <w:szCs w:val="18"/>
          <w:lang w:eastAsia="zh-CN"/>
        </w:rPr>
        <w:t>：</w:t>
      </w:r>
      <w:r w:rsidR="005762FC" w:rsidRPr="00D4203B">
        <w:rPr>
          <w:rFonts w:asciiTheme="majorEastAsia" w:eastAsiaTheme="majorEastAsia" w:hAnsiTheme="majorEastAsia" w:hint="eastAsia"/>
          <w:color w:val="auto"/>
          <w:sz w:val="18"/>
          <w:szCs w:val="18"/>
          <w:lang w:eastAsia="zh-CN"/>
        </w:rPr>
        <w:t>中国移动</w:t>
      </w:r>
      <w:r w:rsidRPr="00D4203B">
        <w:rPr>
          <w:rFonts w:asciiTheme="majorEastAsia" w:eastAsiaTheme="majorEastAsia" w:hAnsiTheme="majorEastAsia" w:hint="eastAsia"/>
          <w:color w:val="auto"/>
          <w:sz w:val="18"/>
          <w:szCs w:val="18"/>
          <w:lang w:eastAsia="zh-CN"/>
        </w:rPr>
        <w:t>的营收拆分及预测（单位：百万元）</w:t>
      </w:r>
      <w:bookmarkEnd w:id="14"/>
    </w:p>
    <w:tbl>
      <w:tblPr>
        <w:tblW w:w="5142" w:type="pct"/>
        <w:tblLook w:val="04A0" w:firstRow="1" w:lastRow="0" w:firstColumn="1" w:lastColumn="0" w:noHBand="0" w:noVBand="1"/>
      </w:tblPr>
      <w:tblGrid>
        <w:gridCol w:w="2236"/>
        <w:gridCol w:w="1161"/>
        <w:gridCol w:w="1161"/>
        <w:gridCol w:w="1161"/>
        <w:gridCol w:w="1161"/>
        <w:gridCol w:w="1161"/>
      </w:tblGrid>
      <w:tr w:rsidR="007375B2" w:rsidRPr="007375B2" w14:paraId="1020D0E2" w14:textId="77777777" w:rsidTr="003B1C7E">
        <w:trPr>
          <w:trHeight w:val="361"/>
        </w:trPr>
        <w:tc>
          <w:tcPr>
            <w:tcW w:w="1390" w:type="pct"/>
            <w:tcBorders>
              <w:top w:val="single" w:sz="4" w:space="0" w:color="auto"/>
              <w:left w:val="nil"/>
              <w:bottom w:val="single" w:sz="4" w:space="0" w:color="auto"/>
              <w:right w:val="nil"/>
            </w:tcBorders>
            <w:shd w:val="clear" w:color="auto" w:fill="auto"/>
            <w:noWrap/>
            <w:vAlign w:val="center"/>
            <w:hideMark/>
          </w:tcPr>
          <w:p w14:paraId="27C41DD3" w14:textId="738D394B" w:rsidR="007375B2" w:rsidRPr="007375B2" w:rsidRDefault="007375B2" w:rsidP="007375B2">
            <w:pPr>
              <w:spacing w:beforeLines="50" w:before="120" w:afterLines="50" w:after="120" w:line="276" w:lineRule="auto"/>
              <w:jc w:val="both"/>
              <w:rPr>
                <w:rFonts w:eastAsia="宋体..閰繷." w:cs="Times New Roman"/>
                <w:szCs w:val="18"/>
              </w:rPr>
            </w:pPr>
          </w:p>
        </w:tc>
        <w:tc>
          <w:tcPr>
            <w:tcW w:w="722" w:type="pct"/>
            <w:tcBorders>
              <w:top w:val="single" w:sz="4" w:space="0" w:color="auto"/>
              <w:left w:val="nil"/>
              <w:bottom w:val="single" w:sz="4" w:space="0" w:color="auto"/>
              <w:right w:val="nil"/>
            </w:tcBorders>
            <w:shd w:val="clear" w:color="auto" w:fill="auto"/>
            <w:noWrap/>
            <w:vAlign w:val="center"/>
            <w:hideMark/>
          </w:tcPr>
          <w:p w14:paraId="29B8EBB0" w14:textId="63ECD1EB" w:rsidR="007375B2" w:rsidRPr="007375B2" w:rsidRDefault="00AD684F" w:rsidP="007375B2">
            <w:pPr>
              <w:spacing w:beforeLines="50" w:before="120" w:afterLines="50" w:after="120" w:line="276" w:lineRule="auto"/>
              <w:jc w:val="both"/>
              <w:rPr>
                <w:rFonts w:eastAsia="宋体..閰繷." w:cs="Times New Roman"/>
                <w:b/>
                <w:bCs/>
                <w:szCs w:val="18"/>
              </w:rPr>
            </w:pPr>
            <w:r>
              <w:rPr>
                <w:rFonts w:eastAsia="宋体..閰繷." w:cs="Times New Roman"/>
                <w:b/>
                <w:bCs/>
                <w:szCs w:val="18"/>
              </w:rPr>
              <w:t>2021</w:t>
            </w:r>
          </w:p>
        </w:tc>
        <w:tc>
          <w:tcPr>
            <w:tcW w:w="722" w:type="pct"/>
            <w:tcBorders>
              <w:top w:val="single" w:sz="4" w:space="0" w:color="auto"/>
              <w:left w:val="nil"/>
              <w:bottom w:val="single" w:sz="4" w:space="0" w:color="auto"/>
              <w:right w:val="nil"/>
            </w:tcBorders>
            <w:shd w:val="clear" w:color="auto" w:fill="auto"/>
            <w:noWrap/>
            <w:vAlign w:val="center"/>
            <w:hideMark/>
          </w:tcPr>
          <w:p w14:paraId="36369614" w14:textId="6FA326FD" w:rsidR="007375B2" w:rsidRPr="007375B2" w:rsidRDefault="00AD684F" w:rsidP="007375B2">
            <w:pPr>
              <w:spacing w:beforeLines="50" w:before="120" w:afterLines="50" w:after="120" w:line="276" w:lineRule="auto"/>
              <w:jc w:val="both"/>
              <w:rPr>
                <w:rFonts w:eastAsia="宋体..閰繷." w:cs="Times New Roman"/>
                <w:b/>
                <w:bCs/>
                <w:szCs w:val="18"/>
              </w:rPr>
            </w:pPr>
            <w:r>
              <w:rPr>
                <w:rFonts w:eastAsia="宋体..閰繷." w:cs="Times New Roman"/>
                <w:b/>
                <w:bCs/>
                <w:szCs w:val="18"/>
              </w:rPr>
              <w:t>2022</w:t>
            </w:r>
          </w:p>
        </w:tc>
        <w:tc>
          <w:tcPr>
            <w:tcW w:w="722" w:type="pct"/>
            <w:tcBorders>
              <w:top w:val="single" w:sz="4" w:space="0" w:color="auto"/>
              <w:left w:val="nil"/>
              <w:bottom w:val="single" w:sz="4" w:space="0" w:color="auto"/>
              <w:right w:val="nil"/>
            </w:tcBorders>
            <w:shd w:val="clear" w:color="auto" w:fill="auto"/>
            <w:noWrap/>
            <w:vAlign w:val="center"/>
            <w:hideMark/>
          </w:tcPr>
          <w:p w14:paraId="6728609E" w14:textId="760F3906" w:rsidR="007375B2" w:rsidRPr="007375B2" w:rsidRDefault="00AD684F" w:rsidP="007375B2">
            <w:pPr>
              <w:spacing w:beforeLines="50" w:before="120" w:afterLines="50" w:after="120" w:line="276" w:lineRule="auto"/>
              <w:jc w:val="both"/>
              <w:rPr>
                <w:rFonts w:eastAsia="宋体..閰繷." w:cs="Times New Roman"/>
                <w:b/>
                <w:bCs/>
                <w:szCs w:val="18"/>
              </w:rPr>
            </w:pPr>
            <w:r>
              <w:rPr>
                <w:rFonts w:eastAsia="宋体..閰繷." w:cs="Times New Roman"/>
                <w:b/>
                <w:bCs/>
                <w:szCs w:val="18"/>
              </w:rPr>
              <w:t>2023</w:t>
            </w:r>
          </w:p>
        </w:tc>
        <w:tc>
          <w:tcPr>
            <w:tcW w:w="722" w:type="pct"/>
            <w:tcBorders>
              <w:top w:val="single" w:sz="4" w:space="0" w:color="auto"/>
              <w:left w:val="nil"/>
              <w:bottom w:val="single" w:sz="4" w:space="0" w:color="auto"/>
              <w:right w:val="nil"/>
            </w:tcBorders>
            <w:shd w:val="clear" w:color="auto" w:fill="auto"/>
            <w:noWrap/>
            <w:vAlign w:val="center"/>
            <w:hideMark/>
          </w:tcPr>
          <w:p w14:paraId="130F880F" w14:textId="02EE5650" w:rsidR="007375B2" w:rsidRPr="007375B2" w:rsidRDefault="00AD684F" w:rsidP="007375B2">
            <w:pPr>
              <w:spacing w:beforeLines="50" w:before="120" w:afterLines="50" w:after="120" w:line="276" w:lineRule="auto"/>
              <w:jc w:val="both"/>
              <w:rPr>
                <w:rFonts w:eastAsia="宋体..閰繷." w:cs="Times New Roman"/>
                <w:b/>
                <w:bCs/>
                <w:szCs w:val="18"/>
              </w:rPr>
            </w:pPr>
            <w:r>
              <w:rPr>
                <w:rFonts w:eastAsia="宋体..閰繷." w:cs="Times New Roman"/>
                <w:b/>
                <w:bCs/>
                <w:szCs w:val="18"/>
              </w:rPr>
              <w:t>2024</w:t>
            </w:r>
            <w:r w:rsidR="007375B2" w:rsidRPr="007375B2">
              <w:rPr>
                <w:rFonts w:eastAsia="宋体..閰繷." w:cs="Times New Roman"/>
                <w:b/>
                <w:bCs/>
                <w:szCs w:val="18"/>
              </w:rPr>
              <w:t>E</w:t>
            </w:r>
          </w:p>
        </w:tc>
        <w:tc>
          <w:tcPr>
            <w:tcW w:w="722" w:type="pct"/>
            <w:tcBorders>
              <w:top w:val="single" w:sz="4" w:space="0" w:color="auto"/>
              <w:left w:val="nil"/>
              <w:bottom w:val="single" w:sz="4" w:space="0" w:color="auto"/>
              <w:right w:val="nil"/>
            </w:tcBorders>
            <w:shd w:val="clear" w:color="auto" w:fill="auto"/>
            <w:noWrap/>
            <w:vAlign w:val="center"/>
            <w:hideMark/>
          </w:tcPr>
          <w:p w14:paraId="55E36830" w14:textId="45328880" w:rsidR="007375B2" w:rsidRPr="007375B2" w:rsidRDefault="00AD684F" w:rsidP="007375B2">
            <w:pPr>
              <w:spacing w:beforeLines="50" w:before="120" w:afterLines="50" w:after="120" w:line="276" w:lineRule="auto"/>
              <w:jc w:val="both"/>
              <w:rPr>
                <w:rFonts w:eastAsia="宋体..閰繷." w:cs="Times New Roman"/>
                <w:b/>
                <w:bCs/>
                <w:szCs w:val="18"/>
              </w:rPr>
            </w:pPr>
            <w:r>
              <w:rPr>
                <w:rFonts w:eastAsia="宋体..閰繷." w:cs="Times New Roman"/>
                <w:b/>
                <w:bCs/>
                <w:szCs w:val="18"/>
              </w:rPr>
              <w:t>2025</w:t>
            </w:r>
            <w:r w:rsidR="007375B2" w:rsidRPr="007375B2">
              <w:rPr>
                <w:rFonts w:eastAsia="宋体..閰繷." w:cs="Times New Roman"/>
                <w:b/>
                <w:bCs/>
                <w:szCs w:val="18"/>
              </w:rPr>
              <w:t>E</w:t>
            </w:r>
          </w:p>
        </w:tc>
      </w:tr>
      <w:tr w:rsidR="007375B2" w:rsidRPr="007375B2" w14:paraId="6E5ECDC3" w14:textId="77777777" w:rsidTr="003B1C7E">
        <w:trPr>
          <w:trHeight w:val="121"/>
        </w:trPr>
        <w:tc>
          <w:tcPr>
            <w:tcW w:w="1390" w:type="pct"/>
            <w:tcBorders>
              <w:top w:val="nil"/>
              <w:left w:val="nil"/>
              <w:bottom w:val="nil"/>
              <w:right w:val="nil"/>
            </w:tcBorders>
            <w:shd w:val="clear" w:color="auto" w:fill="auto"/>
            <w:noWrap/>
            <w:vAlign w:val="center"/>
            <w:hideMark/>
          </w:tcPr>
          <w:p w14:paraId="55FA209A" w14:textId="272C5D0D" w:rsidR="007375B2" w:rsidRPr="007375B2" w:rsidRDefault="0041150E" w:rsidP="003B1C7E">
            <w:pPr>
              <w:spacing w:beforeLines="50" w:before="120" w:afterLines="50" w:after="120" w:line="276" w:lineRule="auto"/>
              <w:jc w:val="both"/>
              <w:rPr>
                <w:rFonts w:eastAsia="宋体..閰繷." w:cs="Times New Roman"/>
                <w:b/>
                <w:bCs/>
                <w:szCs w:val="18"/>
              </w:rPr>
            </w:pPr>
            <w:r>
              <w:rPr>
                <w:rFonts w:eastAsia="宋体..閰繷." w:cs="Times New Roman" w:hint="eastAsia"/>
                <w:b/>
                <w:bCs/>
                <w:szCs w:val="18"/>
              </w:rPr>
              <w:t>个人市场</w:t>
            </w:r>
          </w:p>
        </w:tc>
        <w:tc>
          <w:tcPr>
            <w:tcW w:w="722" w:type="pct"/>
            <w:tcBorders>
              <w:top w:val="nil"/>
              <w:left w:val="nil"/>
              <w:bottom w:val="nil"/>
              <w:right w:val="nil"/>
            </w:tcBorders>
            <w:shd w:val="clear" w:color="auto" w:fill="auto"/>
            <w:noWrap/>
            <w:vAlign w:val="center"/>
            <w:hideMark/>
          </w:tcPr>
          <w:p w14:paraId="77C19E1E" w14:textId="15E03211" w:rsidR="007375B2" w:rsidRPr="007375B2" w:rsidRDefault="007375B2" w:rsidP="003B1C7E">
            <w:pPr>
              <w:spacing w:beforeLines="50" w:before="120" w:afterLines="50" w:after="120" w:line="276" w:lineRule="auto"/>
              <w:jc w:val="both"/>
              <w:rPr>
                <w:rFonts w:eastAsia="宋体..閰繷." w:cs="Times New Roman"/>
                <w:szCs w:val="18"/>
              </w:rPr>
            </w:pPr>
          </w:p>
        </w:tc>
        <w:tc>
          <w:tcPr>
            <w:tcW w:w="722" w:type="pct"/>
            <w:tcBorders>
              <w:top w:val="nil"/>
              <w:left w:val="nil"/>
              <w:bottom w:val="nil"/>
              <w:right w:val="nil"/>
            </w:tcBorders>
            <w:shd w:val="clear" w:color="auto" w:fill="auto"/>
            <w:noWrap/>
            <w:vAlign w:val="center"/>
            <w:hideMark/>
          </w:tcPr>
          <w:p w14:paraId="59DBCD7F" w14:textId="4FF0AB46" w:rsidR="007375B2" w:rsidRPr="007375B2" w:rsidRDefault="007375B2" w:rsidP="003B1C7E">
            <w:pPr>
              <w:spacing w:beforeLines="50" w:before="120" w:afterLines="50" w:after="120" w:line="276" w:lineRule="auto"/>
              <w:jc w:val="both"/>
              <w:rPr>
                <w:rFonts w:eastAsia="宋体..閰繷." w:cs="Times New Roman"/>
                <w:szCs w:val="18"/>
              </w:rPr>
            </w:pPr>
          </w:p>
        </w:tc>
        <w:tc>
          <w:tcPr>
            <w:tcW w:w="722" w:type="pct"/>
            <w:tcBorders>
              <w:top w:val="nil"/>
              <w:left w:val="nil"/>
              <w:bottom w:val="nil"/>
              <w:right w:val="nil"/>
            </w:tcBorders>
            <w:shd w:val="clear" w:color="auto" w:fill="auto"/>
            <w:noWrap/>
            <w:vAlign w:val="center"/>
            <w:hideMark/>
          </w:tcPr>
          <w:p w14:paraId="606770DA" w14:textId="122C0CF6" w:rsidR="007375B2" w:rsidRPr="007375B2" w:rsidRDefault="007375B2" w:rsidP="003B1C7E">
            <w:pPr>
              <w:spacing w:beforeLines="50" w:before="120" w:afterLines="50" w:after="120" w:line="276" w:lineRule="auto"/>
              <w:jc w:val="both"/>
              <w:rPr>
                <w:rFonts w:eastAsia="宋体..閰繷." w:cs="Times New Roman"/>
                <w:szCs w:val="18"/>
              </w:rPr>
            </w:pPr>
          </w:p>
        </w:tc>
        <w:tc>
          <w:tcPr>
            <w:tcW w:w="722" w:type="pct"/>
            <w:tcBorders>
              <w:top w:val="nil"/>
              <w:left w:val="nil"/>
              <w:bottom w:val="nil"/>
              <w:right w:val="nil"/>
            </w:tcBorders>
            <w:shd w:val="clear" w:color="auto" w:fill="auto"/>
            <w:noWrap/>
            <w:vAlign w:val="center"/>
            <w:hideMark/>
          </w:tcPr>
          <w:p w14:paraId="7B6154BA" w14:textId="2730BA75" w:rsidR="007375B2" w:rsidRPr="007375B2" w:rsidRDefault="007375B2" w:rsidP="003B1C7E">
            <w:pPr>
              <w:spacing w:beforeLines="50" w:before="120" w:afterLines="50" w:after="120" w:line="276" w:lineRule="auto"/>
              <w:jc w:val="both"/>
              <w:rPr>
                <w:rFonts w:eastAsia="宋体..閰繷." w:cs="Times New Roman"/>
                <w:szCs w:val="18"/>
              </w:rPr>
            </w:pPr>
          </w:p>
        </w:tc>
        <w:tc>
          <w:tcPr>
            <w:tcW w:w="722" w:type="pct"/>
            <w:tcBorders>
              <w:top w:val="nil"/>
              <w:left w:val="nil"/>
              <w:bottom w:val="nil"/>
              <w:right w:val="nil"/>
            </w:tcBorders>
            <w:shd w:val="clear" w:color="auto" w:fill="auto"/>
            <w:noWrap/>
            <w:vAlign w:val="center"/>
            <w:hideMark/>
          </w:tcPr>
          <w:p w14:paraId="5FFC553C" w14:textId="59BEB2BC" w:rsidR="007375B2" w:rsidRPr="007375B2" w:rsidRDefault="007375B2" w:rsidP="003B1C7E">
            <w:pPr>
              <w:spacing w:beforeLines="50" w:before="120" w:afterLines="50" w:after="120" w:line="276" w:lineRule="auto"/>
              <w:jc w:val="both"/>
              <w:rPr>
                <w:rFonts w:eastAsia="宋体..閰繷." w:cs="Times New Roman"/>
                <w:szCs w:val="18"/>
              </w:rPr>
            </w:pPr>
          </w:p>
        </w:tc>
      </w:tr>
      <w:tr w:rsidR="007375B2" w:rsidRPr="007375B2" w14:paraId="2CBA85FC" w14:textId="77777777" w:rsidTr="003B1C7E">
        <w:trPr>
          <w:trHeight w:val="121"/>
        </w:trPr>
        <w:tc>
          <w:tcPr>
            <w:tcW w:w="1390" w:type="pct"/>
            <w:tcBorders>
              <w:top w:val="nil"/>
              <w:left w:val="nil"/>
              <w:bottom w:val="nil"/>
              <w:right w:val="nil"/>
            </w:tcBorders>
            <w:shd w:val="clear" w:color="auto" w:fill="auto"/>
            <w:noWrap/>
            <w:vAlign w:val="center"/>
            <w:hideMark/>
          </w:tcPr>
          <w:p w14:paraId="4608B26B" w14:textId="77777777" w:rsidR="007375B2" w:rsidRPr="007375B2" w:rsidRDefault="007375B2" w:rsidP="003B1C7E">
            <w:pPr>
              <w:spacing w:beforeLines="50" w:before="120" w:afterLines="50" w:after="120" w:line="276" w:lineRule="auto"/>
              <w:jc w:val="both"/>
              <w:rPr>
                <w:rFonts w:eastAsia="宋体..閰繷." w:cs="Times New Roman"/>
                <w:szCs w:val="18"/>
              </w:rPr>
            </w:pPr>
            <w:r w:rsidRPr="007375B2">
              <w:rPr>
                <w:rFonts w:eastAsia="宋体..閰繷." w:cs="Times New Roman" w:hint="eastAsia"/>
                <w:szCs w:val="18"/>
              </w:rPr>
              <w:t>收入</w:t>
            </w:r>
          </w:p>
        </w:tc>
        <w:tc>
          <w:tcPr>
            <w:tcW w:w="722" w:type="pct"/>
            <w:tcBorders>
              <w:top w:val="nil"/>
              <w:left w:val="nil"/>
              <w:bottom w:val="nil"/>
              <w:right w:val="nil"/>
            </w:tcBorders>
            <w:shd w:val="clear" w:color="auto" w:fill="auto"/>
            <w:noWrap/>
            <w:vAlign w:val="center"/>
            <w:hideMark/>
          </w:tcPr>
          <w:p w14:paraId="56B18105" w14:textId="4DA31D92" w:rsidR="007375B2" w:rsidRPr="007375B2" w:rsidRDefault="00BF0BF8" w:rsidP="003B1C7E">
            <w:pPr>
              <w:spacing w:beforeLines="50" w:before="120" w:afterLines="50" w:after="120" w:line="276" w:lineRule="auto"/>
              <w:jc w:val="both"/>
              <w:rPr>
                <w:rFonts w:eastAsia="宋体..閰繷." w:cs="Times New Roman"/>
                <w:szCs w:val="18"/>
              </w:rPr>
            </w:pPr>
            <w:r w:rsidRPr="00BF0BF8">
              <w:rPr>
                <w:rFonts w:eastAsia="宋体..閰繷." w:cs="Times New Roman"/>
                <w:szCs w:val="18"/>
              </w:rPr>
              <w:t>483</w:t>
            </w:r>
            <w:r>
              <w:rPr>
                <w:rFonts w:eastAsia="宋体..閰繷." w:cs="Times New Roman"/>
                <w:szCs w:val="18"/>
              </w:rPr>
              <w:t>,</w:t>
            </w:r>
            <w:r w:rsidRPr="00BF0BF8">
              <w:rPr>
                <w:rFonts w:eastAsia="宋体..閰繷." w:cs="Times New Roman"/>
                <w:szCs w:val="18"/>
              </w:rPr>
              <w:t>400</w:t>
            </w:r>
          </w:p>
        </w:tc>
        <w:tc>
          <w:tcPr>
            <w:tcW w:w="722" w:type="pct"/>
            <w:tcBorders>
              <w:top w:val="nil"/>
              <w:left w:val="nil"/>
              <w:bottom w:val="nil"/>
              <w:right w:val="nil"/>
            </w:tcBorders>
            <w:shd w:val="clear" w:color="auto" w:fill="auto"/>
            <w:noWrap/>
            <w:vAlign w:val="center"/>
            <w:hideMark/>
          </w:tcPr>
          <w:p w14:paraId="72AF87F6" w14:textId="7320D548" w:rsidR="007375B2" w:rsidRPr="007375B2" w:rsidRDefault="00BF0BF8" w:rsidP="003B1C7E">
            <w:pPr>
              <w:spacing w:beforeLines="50" w:before="120" w:afterLines="50" w:after="120" w:line="276" w:lineRule="auto"/>
              <w:jc w:val="both"/>
              <w:rPr>
                <w:rFonts w:eastAsia="宋体..閰繷." w:cs="Times New Roman"/>
                <w:szCs w:val="18"/>
              </w:rPr>
            </w:pPr>
            <w:r w:rsidRPr="00BF0BF8">
              <w:rPr>
                <w:rFonts w:eastAsia="宋体..閰繷." w:cs="Times New Roman"/>
                <w:szCs w:val="18"/>
              </w:rPr>
              <w:t>488,800</w:t>
            </w:r>
          </w:p>
        </w:tc>
        <w:tc>
          <w:tcPr>
            <w:tcW w:w="722" w:type="pct"/>
            <w:tcBorders>
              <w:top w:val="nil"/>
              <w:left w:val="nil"/>
              <w:bottom w:val="nil"/>
              <w:right w:val="nil"/>
            </w:tcBorders>
            <w:shd w:val="clear" w:color="auto" w:fill="auto"/>
            <w:noWrap/>
            <w:vAlign w:val="center"/>
            <w:hideMark/>
          </w:tcPr>
          <w:p w14:paraId="52FFDED4" w14:textId="7E92A4CE" w:rsidR="007375B2" w:rsidRPr="007375B2" w:rsidRDefault="00BF0BF8" w:rsidP="003B1C7E">
            <w:pPr>
              <w:spacing w:beforeLines="50" w:before="120" w:afterLines="50" w:after="120" w:line="276" w:lineRule="auto"/>
              <w:jc w:val="both"/>
              <w:rPr>
                <w:rFonts w:eastAsia="宋体..閰繷." w:cs="Times New Roman"/>
                <w:szCs w:val="18"/>
              </w:rPr>
            </w:pPr>
            <w:r w:rsidRPr="00BF0BF8">
              <w:rPr>
                <w:rFonts w:eastAsia="宋体..閰繷." w:cs="Times New Roman"/>
                <w:szCs w:val="18"/>
              </w:rPr>
              <w:t>491,244</w:t>
            </w:r>
          </w:p>
        </w:tc>
        <w:tc>
          <w:tcPr>
            <w:tcW w:w="722" w:type="pct"/>
            <w:tcBorders>
              <w:top w:val="nil"/>
              <w:left w:val="nil"/>
              <w:bottom w:val="nil"/>
              <w:right w:val="nil"/>
            </w:tcBorders>
            <w:shd w:val="clear" w:color="auto" w:fill="auto"/>
            <w:noWrap/>
            <w:vAlign w:val="center"/>
            <w:hideMark/>
          </w:tcPr>
          <w:p w14:paraId="3D144B99" w14:textId="356DF17E" w:rsidR="007375B2" w:rsidRPr="007375B2" w:rsidRDefault="00BF0BF8" w:rsidP="003B1C7E">
            <w:pPr>
              <w:spacing w:beforeLines="50" w:before="120" w:afterLines="50" w:after="120" w:line="276" w:lineRule="auto"/>
              <w:jc w:val="both"/>
              <w:rPr>
                <w:rFonts w:eastAsia="宋体..閰繷." w:cs="Times New Roman"/>
                <w:szCs w:val="18"/>
              </w:rPr>
            </w:pPr>
            <w:r w:rsidRPr="00BF0BF8">
              <w:rPr>
                <w:rFonts w:eastAsia="宋体..閰繷." w:cs="Times New Roman"/>
                <w:szCs w:val="18"/>
              </w:rPr>
              <w:t>493,700</w:t>
            </w:r>
          </w:p>
        </w:tc>
        <w:tc>
          <w:tcPr>
            <w:tcW w:w="722" w:type="pct"/>
            <w:tcBorders>
              <w:top w:val="nil"/>
              <w:left w:val="nil"/>
              <w:bottom w:val="nil"/>
              <w:right w:val="nil"/>
            </w:tcBorders>
            <w:shd w:val="clear" w:color="auto" w:fill="auto"/>
            <w:noWrap/>
            <w:vAlign w:val="center"/>
            <w:hideMark/>
          </w:tcPr>
          <w:p w14:paraId="4EA50B97" w14:textId="1D5BBABC" w:rsidR="007375B2" w:rsidRPr="007375B2" w:rsidRDefault="00BF0BF8" w:rsidP="003B1C7E">
            <w:pPr>
              <w:spacing w:beforeLines="50" w:before="120" w:afterLines="50" w:after="120" w:line="276" w:lineRule="auto"/>
              <w:jc w:val="both"/>
              <w:rPr>
                <w:rFonts w:eastAsia="宋体..閰繷." w:cs="Times New Roman"/>
                <w:szCs w:val="18"/>
              </w:rPr>
            </w:pPr>
            <w:r w:rsidRPr="00BF0BF8">
              <w:rPr>
                <w:rFonts w:eastAsia="宋体..閰繷." w:cs="Times New Roman"/>
                <w:szCs w:val="18"/>
              </w:rPr>
              <w:t>496,169</w:t>
            </w:r>
          </w:p>
        </w:tc>
      </w:tr>
      <w:tr w:rsidR="002F5BE5" w:rsidRPr="007375B2" w14:paraId="01D4DE67" w14:textId="77777777" w:rsidTr="003B1C7E">
        <w:trPr>
          <w:trHeight w:val="180"/>
        </w:trPr>
        <w:tc>
          <w:tcPr>
            <w:tcW w:w="1390" w:type="pct"/>
            <w:tcBorders>
              <w:top w:val="nil"/>
              <w:left w:val="nil"/>
              <w:bottom w:val="single" w:sz="4" w:space="0" w:color="auto"/>
              <w:right w:val="nil"/>
            </w:tcBorders>
            <w:shd w:val="clear" w:color="auto" w:fill="auto"/>
            <w:noWrap/>
            <w:vAlign w:val="center"/>
            <w:hideMark/>
          </w:tcPr>
          <w:p w14:paraId="0AB2DE21" w14:textId="77777777" w:rsidR="002F5BE5" w:rsidRPr="007375B2" w:rsidRDefault="002F5BE5" w:rsidP="003B1C7E">
            <w:pPr>
              <w:spacing w:beforeLines="50" w:before="120" w:afterLines="50" w:after="120" w:line="276" w:lineRule="auto"/>
              <w:jc w:val="both"/>
              <w:rPr>
                <w:rFonts w:eastAsia="宋体..閰繷." w:cs="Times New Roman"/>
                <w:szCs w:val="18"/>
              </w:rPr>
            </w:pPr>
            <w:r w:rsidRPr="007375B2">
              <w:rPr>
                <w:rFonts w:eastAsia="宋体..閰繷." w:cs="Times New Roman" w:hint="eastAsia"/>
                <w:szCs w:val="18"/>
              </w:rPr>
              <w:t>增长率</w:t>
            </w:r>
          </w:p>
        </w:tc>
        <w:tc>
          <w:tcPr>
            <w:tcW w:w="722" w:type="pct"/>
            <w:tcBorders>
              <w:top w:val="nil"/>
              <w:left w:val="nil"/>
              <w:bottom w:val="single" w:sz="4" w:space="0" w:color="auto"/>
              <w:right w:val="nil"/>
            </w:tcBorders>
            <w:shd w:val="clear" w:color="auto" w:fill="auto"/>
            <w:noWrap/>
            <w:vAlign w:val="center"/>
            <w:hideMark/>
          </w:tcPr>
          <w:p w14:paraId="0B0059B4" w14:textId="65060948" w:rsidR="002F5BE5" w:rsidRPr="007375B2" w:rsidRDefault="002F5BE5" w:rsidP="003B1C7E">
            <w:pPr>
              <w:spacing w:beforeLines="50" w:before="120" w:afterLines="50" w:after="120" w:line="276" w:lineRule="auto"/>
              <w:jc w:val="both"/>
              <w:rPr>
                <w:rFonts w:eastAsia="宋体..閰繷." w:cs="Times New Roman"/>
                <w:szCs w:val="18"/>
              </w:rPr>
            </w:pPr>
            <w:r w:rsidRPr="00A10E97">
              <w:rPr>
                <w:rFonts w:eastAsia="宋体..閰繷." w:cs="Times New Roman"/>
                <w:szCs w:val="18"/>
              </w:rPr>
              <w:t>1.40%</w:t>
            </w:r>
          </w:p>
        </w:tc>
        <w:tc>
          <w:tcPr>
            <w:tcW w:w="722" w:type="pct"/>
            <w:tcBorders>
              <w:top w:val="nil"/>
              <w:left w:val="nil"/>
              <w:bottom w:val="single" w:sz="4" w:space="0" w:color="auto"/>
              <w:right w:val="nil"/>
            </w:tcBorders>
            <w:shd w:val="clear" w:color="auto" w:fill="auto"/>
            <w:noWrap/>
            <w:vAlign w:val="center"/>
            <w:hideMark/>
          </w:tcPr>
          <w:p w14:paraId="277E0D55" w14:textId="70360726" w:rsidR="002F5BE5" w:rsidRPr="007375B2" w:rsidRDefault="002F5BE5" w:rsidP="003B1C7E">
            <w:pPr>
              <w:spacing w:beforeLines="50" w:before="120" w:afterLines="50" w:after="120" w:line="276" w:lineRule="auto"/>
              <w:jc w:val="both"/>
              <w:rPr>
                <w:rFonts w:eastAsia="宋体..閰繷." w:cs="Times New Roman"/>
                <w:szCs w:val="18"/>
              </w:rPr>
            </w:pPr>
            <w:r w:rsidRPr="002F5BE5">
              <w:rPr>
                <w:rFonts w:eastAsia="宋体..閰繷." w:cs="Times New Roman"/>
                <w:szCs w:val="18"/>
              </w:rPr>
              <w:t>1.12%</w:t>
            </w:r>
          </w:p>
        </w:tc>
        <w:tc>
          <w:tcPr>
            <w:tcW w:w="722" w:type="pct"/>
            <w:tcBorders>
              <w:top w:val="nil"/>
              <w:left w:val="nil"/>
              <w:bottom w:val="single" w:sz="4" w:space="0" w:color="auto"/>
              <w:right w:val="nil"/>
            </w:tcBorders>
            <w:shd w:val="clear" w:color="auto" w:fill="auto"/>
            <w:noWrap/>
            <w:hideMark/>
          </w:tcPr>
          <w:p w14:paraId="29D23F89" w14:textId="64AAC992" w:rsidR="002F5BE5" w:rsidRPr="007375B2" w:rsidRDefault="002F5BE5" w:rsidP="003B1C7E">
            <w:pPr>
              <w:spacing w:beforeLines="50" w:before="120" w:afterLines="50" w:after="120" w:line="276" w:lineRule="auto"/>
              <w:jc w:val="both"/>
              <w:rPr>
                <w:rFonts w:eastAsia="宋体..閰繷." w:cs="Times New Roman"/>
                <w:szCs w:val="18"/>
              </w:rPr>
            </w:pPr>
            <w:r w:rsidRPr="00A17576">
              <w:t>0.50%</w:t>
            </w:r>
          </w:p>
        </w:tc>
        <w:tc>
          <w:tcPr>
            <w:tcW w:w="722" w:type="pct"/>
            <w:tcBorders>
              <w:top w:val="nil"/>
              <w:left w:val="nil"/>
              <w:bottom w:val="single" w:sz="4" w:space="0" w:color="auto"/>
              <w:right w:val="nil"/>
            </w:tcBorders>
            <w:shd w:val="clear" w:color="auto" w:fill="auto"/>
            <w:noWrap/>
            <w:hideMark/>
          </w:tcPr>
          <w:p w14:paraId="01DC3374" w14:textId="36ED6083" w:rsidR="002F5BE5" w:rsidRPr="007375B2" w:rsidRDefault="002F5BE5" w:rsidP="003B1C7E">
            <w:pPr>
              <w:spacing w:beforeLines="50" w:before="120" w:afterLines="50" w:after="120" w:line="276" w:lineRule="auto"/>
              <w:jc w:val="both"/>
              <w:rPr>
                <w:rFonts w:eastAsia="宋体..閰繷." w:cs="Times New Roman"/>
                <w:szCs w:val="18"/>
              </w:rPr>
            </w:pPr>
            <w:r w:rsidRPr="00A17576">
              <w:t>0.50%</w:t>
            </w:r>
          </w:p>
        </w:tc>
        <w:tc>
          <w:tcPr>
            <w:tcW w:w="722" w:type="pct"/>
            <w:tcBorders>
              <w:top w:val="nil"/>
              <w:left w:val="nil"/>
              <w:bottom w:val="single" w:sz="4" w:space="0" w:color="auto"/>
              <w:right w:val="nil"/>
            </w:tcBorders>
            <w:shd w:val="clear" w:color="auto" w:fill="auto"/>
            <w:noWrap/>
            <w:hideMark/>
          </w:tcPr>
          <w:p w14:paraId="77AEA3F5" w14:textId="490795A6" w:rsidR="002F5BE5" w:rsidRPr="007375B2" w:rsidRDefault="002F5BE5" w:rsidP="003B1C7E">
            <w:pPr>
              <w:spacing w:beforeLines="50" w:before="120" w:afterLines="50" w:after="120" w:line="276" w:lineRule="auto"/>
              <w:jc w:val="both"/>
              <w:rPr>
                <w:rFonts w:eastAsia="宋体..閰繷." w:cs="Times New Roman"/>
                <w:szCs w:val="18"/>
              </w:rPr>
            </w:pPr>
            <w:r w:rsidRPr="00A17576">
              <w:t>0.50%</w:t>
            </w:r>
          </w:p>
        </w:tc>
      </w:tr>
      <w:tr w:rsidR="007375B2" w:rsidRPr="007375B2" w14:paraId="659E6BB9" w14:textId="77777777" w:rsidTr="003B1C7E">
        <w:trPr>
          <w:trHeight w:val="121"/>
        </w:trPr>
        <w:tc>
          <w:tcPr>
            <w:tcW w:w="1390" w:type="pct"/>
            <w:tcBorders>
              <w:top w:val="nil"/>
              <w:left w:val="nil"/>
              <w:bottom w:val="nil"/>
              <w:right w:val="nil"/>
            </w:tcBorders>
            <w:shd w:val="clear" w:color="auto" w:fill="auto"/>
            <w:noWrap/>
            <w:vAlign w:val="center"/>
            <w:hideMark/>
          </w:tcPr>
          <w:p w14:paraId="5E64CB4A" w14:textId="51A862C4" w:rsidR="007375B2" w:rsidRPr="007375B2" w:rsidRDefault="0041150E" w:rsidP="003B1C7E">
            <w:pPr>
              <w:spacing w:beforeLines="50" w:before="120" w:afterLines="50" w:after="120" w:line="276" w:lineRule="auto"/>
              <w:jc w:val="both"/>
              <w:rPr>
                <w:rFonts w:eastAsia="宋体..閰繷." w:cs="Times New Roman"/>
                <w:b/>
                <w:bCs/>
                <w:szCs w:val="18"/>
              </w:rPr>
            </w:pPr>
            <w:r>
              <w:rPr>
                <w:rFonts w:eastAsia="宋体..閰繷." w:cs="Times New Roman" w:hint="eastAsia"/>
                <w:b/>
                <w:bCs/>
                <w:szCs w:val="18"/>
              </w:rPr>
              <w:t>家庭市场</w:t>
            </w:r>
          </w:p>
        </w:tc>
        <w:tc>
          <w:tcPr>
            <w:tcW w:w="722" w:type="pct"/>
            <w:tcBorders>
              <w:top w:val="nil"/>
              <w:left w:val="nil"/>
              <w:bottom w:val="nil"/>
              <w:right w:val="nil"/>
            </w:tcBorders>
            <w:shd w:val="clear" w:color="auto" w:fill="auto"/>
            <w:noWrap/>
            <w:vAlign w:val="center"/>
            <w:hideMark/>
          </w:tcPr>
          <w:p w14:paraId="5BD7C6BA" w14:textId="3099A674" w:rsidR="007375B2" w:rsidRPr="007375B2" w:rsidRDefault="007375B2" w:rsidP="003B1C7E">
            <w:pPr>
              <w:spacing w:beforeLines="50" w:before="120" w:afterLines="50" w:after="120" w:line="276" w:lineRule="auto"/>
              <w:jc w:val="both"/>
              <w:rPr>
                <w:rFonts w:eastAsia="宋体..閰繷." w:cs="Times New Roman"/>
                <w:szCs w:val="18"/>
              </w:rPr>
            </w:pPr>
          </w:p>
        </w:tc>
        <w:tc>
          <w:tcPr>
            <w:tcW w:w="722" w:type="pct"/>
            <w:tcBorders>
              <w:top w:val="nil"/>
              <w:left w:val="nil"/>
              <w:bottom w:val="nil"/>
              <w:right w:val="nil"/>
            </w:tcBorders>
            <w:shd w:val="clear" w:color="auto" w:fill="auto"/>
            <w:noWrap/>
            <w:vAlign w:val="center"/>
          </w:tcPr>
          <w:p w14:paraId="7FEFAD2D" w14:textId="0C43B2BE" w:rsidR="007375B2" w:rsidRPr="007375B2" w:rsidRDefault="007375B2" w:rsidP="003B1C7E">
            <w:pPr>
              <w:spacing w:beforeLines="50" w:before="120" w:afterLines="50" w:after="120" w:line="276" w:lineRule="auto"/>
              <w:jc w:val="both"/>
              <w:rPr>
                <w:rFonts w:eastAsia="宋体..閰繷." w:cs="Times New Roman"/>
                <w:szCs w:val="18"/>
              </w:rPr>
            </w:pPr>
          </w:p>
        </w:tc>
        <w:tc>
          <w:tcPr>
            <w:tcW w:w="722" w:type="pct"/>
            <w:tcBorders>
              <w:top w:val="nil"/>
              <w:left w:val="nil"/>
              <w:bottom w:val="nil"/>
              <w:right w:val="nil"/>
            </w:tcBorders>
            <w:shd w:val="clear" w:color="auto" w:fill="auto"/>
            <w:noWrap/>
            <w:vAlign w:val="center"/>
          </w:tcPr>
          <w:p w14:paraId="28D38EDC" w14:textId="0773297F" w:rsidR="007375B2" w:rsidRPr="007375B2" w:rsidRDefault="007375B2" w:rsidP="003B1C7E">
            <w:pPr>
              <w:spacing w:beforeLines="50" w:before="120" w:afterLines="50" w:after="120" w:line="276" w:lineRule="auto"/>
              <w:jc w:val="both"/>
              <w:rPr>
                <w:rFonts w:eastAsia="宋体..閰繷." w:cs="Times New Roman"/>
                <w:szCs w:val="18"/>
              </w:rPr>
            </w:pPr>
          </w:p>
        </w:tc>
        <w:tc>
          <w:tcPr>
            <w:tcW w:w="722" w:type="pct"/>
            <w:tcBorders>
              <w:top w:val="nil"/>
              <w:left w:val="nil"/>
              <w:bottom w:val="nil"/>
              <w:right w:val="nil"/>
            </w:tcBorders>
            <w:shd w:val="clear" w:color="auto" w:fill="auto"/>
            <w:noWrap/>
            <w:vAlign w:val="center"/>
          </w:tcPr>
          <w:p w14:paraId="571C5CF8" w14:textId="5D5455F9" w:rsidR="007375B2" w:rsidRPr="007375B2" w:rsidRDefault="007375B2" w:rsidP="003B1C7E">
            <w:pPr>
              <w:spacing w:beforeLines="50" w:before="120" w:afterLines="50" w:after="120" w:line="276" w:lineRule="auto"/>
              <w:jc w:val="both"/>
              <w:rPr>
                <w:rFonts w:eastAsia="宋体..閰繷." w:cs="Times New Roman"/>
                <w:szCs w:val="18"/>
              </w:rPr>
            </w:pPr>
          </w:p>
        </w:tc>
        <w:tc>
          <w:tcPr>
            <w:tcW w:w="722" w:type="pct"/>
            <w:tcBorders>
              <w:top w:val="nil"/>
              <w:left w:val="nil"/>
              <w:bottom w:val="nil"/>
              <w:right w:val="nil"/>
            </w:tcBorders>
            <w:shd w:val="clear" w:color="auto" w:fill="auto"/>
            <w:noWrap/>
            <w:vAlign w:val="center"/>
          </w:tcPr>
          <w:p w14:paraId="76278822" w14:textId="18570480" w:rsidR="007375B2" w:rsidRPr="007375B2" w:rsidRDefault="007375B2" w:rsidP="003B1C7E">
            <w:pPr>
              <w:spacing w:beforeLines="50" w:before="120" w:afterLines="50" w:after="120" w:line="276" w:lineRule="auto"/>
              <w:jc w:val="both"/>
              <w:rPr>
                <w:rFonts w:eastAsia="宋体..閰繷." w:cs="Times New Roman"/>
                <w:szCs w:val="18"/>
              </w:rPr>
            </w:pPr>
          </w:p>
        </w:tc>
      </w:tr>
      <w:tr w:rsidR="00B84030" w:rsidRPr="007375B2" w14:paraId="16AB8297" w14:textId="77777777" w:rsidTr="003B1C7E">
        <w:trPr>
          <w:trHeight w:val="121"/>
        </w:trPr>
        <w:tc>
          <w:tcPr>
            <w:tcW w:w="1390" w:type="pct"/>
            <w:tcBorders>
              <w:top w:val="nil"/>
              <w:left w:val="nil"/>
              <w:bottom w:val="nil"/>
              <w:right w:val="nil"/>
            </w:tcBorders>
            <w:shd w:val="clear" w:color="auto" w:fill="auto"/>
            <w:noWrap/>
            <w:vAlign w:val="center"/>
            <w:hideMark/>
          </w:tcPr>
          <w:p w14:paraId="09977D4A" w14:textId="77777777" w:rsidR="00B84030" w:rsidRPr="007375B2" w:rsidRDefault="00B84030" w:rsidP="003B1C7E">
            <w:pPr>
              <w:spacing w:beforeLines="50" w:before="120" w:afterLines="50" w:after="120" w:line="276" w:lineRule="auto"/>
              <w:jc w:val="both"/>
              <w:rPr>
                <w:rFonts w:eastAsia="宋体..閰繷." w:cs="Times New Roman"/>
                <w:szCs w:val="18"/>
              </w:rPr>
            </w:pPr>
            <w:r w:rsidRPr="007375B2">
              <w:rPr>
                <w:rFonts w:eastAsia="宋体..閰繷." w:cs="Times New Roman" w:hint="eastAsia"/>
                <w:szCs w:val="18"/>
              </w:rPr>
              <w:t>收入</w:t>
            </w:r>
          </w:p>
        </w:tc>
        <w:tc>
          <w:tcPr>
            <w:tcW w:w="722" w:type="pct"/>
            <w:tcBorders>
              <w:top w:val="nil"/>
              <w:left w:val="nil"/>
              <w:bottom w:val="nil"/>
              <w:right w:val="nil"/>
            </w:tcBorders>
            <w:shd w:val="clear" w:color="auto" w:fill="auto"/>
            <w:noWrap/>
            <w:vAlign w:val="center"/>
          </w:tcPr>
          <w:p w14:paraId="13AE34A3" w14:textId="37697343" w:rsidR="00B84030" w:rsidRPr="007375B2" w:rsidRDefault="00B84030" w:rsidP="003B1C7E">
            <w:pPr>
              <w:spacing w:beforeLines="50" w:before="120" w:afterLines="50" w:after="120" w:line="276" w:lineRule="auto"/>
              <w:jc w:val="both"/>
              <w:rPr>
                <w:rFonts w:eastAsia="宋体..閰繷." w:cs="Times New Roman"/>
                <w:szCs w:val="18"/>
              </w:rPr>
            </w:pPr>
            <w:r w:rsidRPr="00D56D37">
              <w:rPr>
                <w:rFonts w:eastAsia="宋体..閰繷." w:cs="Times New Roman"/>
                <w:szCs w:val="18"/>
              </w:rPr>
              <w:t>100,500</w:t>
            </w:r>
          </w:p>
        </w:tc>
        <w:tc>
          <w:tcPr>
            <w:tcW w:w="722" w:type="pct"/>
            <w:tcBorders>
              <w:top w:val="nil"/>
              <w:left w:val="nil"/>
              <w:bottom w:val="nil"/>
              <w:right w:val="nil"/>
            </w:tcBorders>
            <w:shd w:val="clear" w:color="auto" w:fill="auto"/>
            <w:noWrap/>
            <w:vAlign w:val="center"/>
          </w:tcPr>
          <w:p w14:paraId="1D25FFE6" w14:textId="2B2D8AC9" w:rsidR="00B84030" w:rsidRPr="007375B2" w:rsidRDefault="00B84030" w:rsidP="003B1C7E">
            <w:pPr>
              <w:spacing w:beforeLines="50" w:before="120" w:afterLines="50" w:after="120" w:line="276" w:lineRule="auto"/>
              <w:jc w:val="both"/>
              <w:rPr>
                <w:rFonts w:eastAsia="宋体..閰繷." w:cs="Times New Roman"/>
                <w:szCs w:val="18"/>
              </w:rPr>
            </w:pPr>
            <w:r w:rsidRPr="00067492">
              <w:rPr>
                <w:rFonts w:eastAsia="宋体..閰繷." w:cs="Times New Roman"/>
                <w:szCs w:val="18"/>
              </w:rPr>
              <w:t>116,600</w:t>
            </w:r>
          </w:p>
        </w:tc>
        <w:tc>
          <w:tcPr>
            <w:tcW w:w="722" w:type="pct"/>
            <w:tcBorders>
              <w:top w:val="nil"/>
              <w:left w:val="nil"/>
              <w:bottom w:val="nil"/>
              <w:right w:val="nil"/>
            </w:tcBorders>
            <w:shd w:val="clear" w:color="auto" w:fill="auto"/>
            <w:noWrap/>
          </w:tcPr>
          <w:p w14:paraId="55D6D440" w14:textId="1AF22ED0" w:rsidR="00B84030" w:rsidRPr="007375B2" w:rsidRDefault="00B84030" w:rsidP="003B1C7E">
            <w:pPr>
              <w:spacing w:beforeLines="50" w:before="120" w:afterLines="50" w:after="120" w:line="276" w:lineRule="auto"/>
              <w:jc w:val="both"/>
              <w:rPr>
                <w:rFonts w:eastAsia="宋体..閰繷." w:cs="Times New Roman"/>
                <w:szCs w:val="18"/>
              </w:rPr>
            </w:pPr>
            <w:r w:rsidRPr="009C0EBC">
              <w:t xml:space="preserve">131,758 </w:t>
            </w:r>
          </w:p>
        </w:tc>
        <w:tc>
          <w:tcPr>
            <w:tcW w:w="722" w:type="pct"/>
            <w:tcBorders>
              <w:top w:val="nil"/>
              <w:left w:val="nil"/>
              <w:bottom w:val="nil"/>
              <w:right w:val="nil"/>
            </w:tcBorders>
            <w:shd w:val="clear" w:color="auto" w:fill="auto"/>
            <w:noWrap/>
          </w:tcPr>
          <w:p w14:paraId="2D996FD8" w14:textId="57FAAD2A" w:rsidR="00B84030" w:rsidRPr="007375B2" w:rsidRDefault="00B84030" w:rsidP="003B1C7E">
            <w:pPr>
              <w:spacing w:beforeLines="50" w:before="120" w:afterLines="50" w:after="120" w:line="276" w:lineRule="auto"/>
              <w:jc w:val="both"/>
              <w:rPr>
                <w:rFonts w:eastAsia="宋体..閰繷." w:cs="Times New Roman"/>
                <w:szCs w:val="18"/>
              </w:rPr>
            </w:pPr>
            <w:r w:rsidRPr="009C0EBC">
              <w:t xml:space="preserve">143,616 </w:t>
            </w:r>
          </w:p>
        </w:tc>
        <w:tc>
          <w:tcPr>
            <w:tcW w:w="722" w:type="pct"/>
            <w:tcBorders>
              <w:top w:val="nil"/>
              <w:left w:val="nil"/>
              <w:bottom w:val="nil"/>
              <w:right w:val="nil"/>
            </w:tcBorders>
            <w:shd w:val="clear" w:color="auto" w:fill="auto"/>
            <w:noWrap/>
          </w:tcPr>
          <w:p w14:paraId="72648E14" w14:textId="46D208A9" w:rsidR="00B84030" w:rsidRPr="007375B2" w:rsidRDefault="00B84030" w:rsidP="003B1C7E">
            <w:pPr>
              <w:spacing w:beforeLines="50" w:before="120" w:afterLines="50" w:after="120" w:line="276" w:lineRule="auto"/>
              <w:jc w:val="both"/>
              <w:rPr>
                <w:rFonts w:eastAsia="宋体..閰繷." w:cs="Times New Roman"/>
                <w:szCs w:val="18"/>
              </w:rPr>
            </w:pPr>
            <w:r w:rsidRPr="009C0EBC">
              <w:t xml:space="preserve">150,797 </w:t>
            </w:r>
          </w:p>
        </w:tc>
      </w:tr>
      <w:tr w:rsidR="003C3492" w:rsidRPr="007375B2" w14:paraId="34C9FFC8" w14:textId="77777777" w:rsidTr="003B1C7E">
        <w:trPr>
          <w:trHeight w:val="61"/>
        </w:trPr>
        <w:tc>
          <w:tcPr>
            <w:tcW w:w="1390" w:type="pct"/>
            <w:tcBorders>
              <w:top w:val="nil"/>
              <w:left w:val="nil"/>
              <w:bottom w:val="single" w:sz="4" w:space="0" w:color="auto"/>
              <w:right w:val="nil"/>
            </w:tcBorders>
            <w:shd w:val="clear" w:color="auto" w:fill="auto"/>
            <w:noWrap/>
            <w:vAlign w:val="center"/>
            <w:hideMark/>
          </w:tcPr>
          <w:p w14:paraId="4CBD8EEE" w14:textId="77777777" w:rsidR="003C3492" w:rsidRPr="007375B2" w:rsidRDefault="003C3492" w:rsidP="003B1C7E">
            <w:pPr>
              <w:spacing w:beforeLines="50" w:before="120" w:afterLines="50" w:after="120" w:line="276" w:lineRule="auto"/>
              <w:jc w:val="both"/>
              <w:rPr>
                <w:rFonts w:eastAsia="宋体..閰繷." w:cs="Times New Roman"/>
                <w:szCs w:val="18"/>
              </w:rPr>
            </w:pPr>
            <w:r w:rsidRPr="007375B2">
              <w:rPr>
                <w:rFonts w:eastAsia="宋体..閰繷." w:cs="Times New Roman" w:hint="eastAsia"/>
                <w:szCs w:val="18"/>
              </w:rPr>
              <w:t>增长率</w:t>
            </w:r>
          </w:p>
        </w:tc>
        <w:tc>
          <w:tcPr>
            <w:tcW w:w="722" w:type="pct"/>
            <w:tcBorders>
              <w:top w:val="nil"/>
              <w:left w:val="nil"/>
              <w:bottom w:val="single" w:sz="4" w:space="0" w:color="auto"/>
              <w:right w:val="nil"/>
            </w:tcBorders>
            <w:shd w:val="clear" w:color="auto" w:fill="auto"/>
            <w:noWrap/>
            <w:vAlign w:val="center"/>
          </w:tcPr>
          <w:p w14:paraId="1F212385" w14:textId="0E6EC8E8" w:rsidR="003C3492" w:rsidRPr="007375B2" w:rsidRDefault="003C3492" w:rsidP="003B1C7E">
            <w:pPr>
              <w:spacing w:beforeLines="50" w:before="120" w:afterLines="50" w:after="120" w:line="276" w:lineRule="auto"/>
              <w:jc w:val="both"/>
              <w:rPr>
                <w:rFonts w:eastAsia="宋体..閰繷." w:cs="Times New Roman"/>
                <w:szCs w:val="18"/>
              </w:rPr>
            </w:pPr>
            <w:r w:rsidRPr="003C3492">
              <w:rPr>
                <w:rFonts w:eastAsia="宋体..閰繷." w:cs="Times New Roman"/>
                <w:szCs w:val="18"/>
              </w:rPr>
              <w:t>20.80%</w:t>
            </w:r>
          </w:p>
        </w:tc>
        <w:tc>
          <w:tcPr>
            <w:tcW w:w="722" w:type="pct"/>
            <w:tcBorders>
              <w:top w:val="nil"/>
              <w:left w:val="nil"/>
              <w:bottom w:val="single" w:sz="4" w:space="0" w:color="auto"/>
              <w:right w:val="nil"/>
            </w:tcBorders>
            <w:shd w:val="clear" w:color="auto" w:fill="auto"/>
            <w:noWrap/>
            <w:vAlign w:val="center"/>
          </w:tcPr>
          <w:p w14:paraId="555C5DBD" w14:textId="255DFE78" w:rsidR="003C3492" w:rsidRPr="007375B2" w:rsidRDefault="003C3492" w:rsidP="003B1C7E">
            <w:pPr>
              <w:spacing w:beforeLines="50" w:before="120" w:afterLines="50" w:after="120" w:line="276" w:lineRule="auto"/>
              <w:jc w:val="both"/>
              <w:rPr>
                <w:rFonts w:eastAsia="宋体..閰繷." w:cs="Times New Roman"/>
                <w:szCs w:val="18"/>
              </w:rPr>
            </w:pPr>
            <w:r w:rsidRPr="003C3492">
              <w:rPr>
                <w:rFonts w:eastAsia="宋体..閰繷." w:cs="Times New Roman"/>
                <w:szCs w:val="18"/>
              </w:rPr>
              <w:t>16.02%</w:t>
            </w:r>
          </w:p>
        </w:tc>
        <w:tc>
          <w:tcPr>
            <w:tcW w:w="722" w:type="pct"/>
            <w:tcBorders>
              <w:top w:val="nil"/>
              <w:left w:val="nil"/>
              <w:bottom w:val="single" w:sz="4" w:space="0" w:color="auto"/>
              <w:right w:val="nil"/>
            </w:tcBorders>
            <w:shd w:val="clear" w:color="auto" w:fill="auto"/>
            <w:noWrap/>
          </w:tcPr>
          <w:p w14:paraId="5384ECE2" w14:textId="475C755D" w:rsidR="003C3492" w:rsidRPr="007375B2" w:rsidRDefault="003C3492" w:rsidP="003B1C7E">
            <w:pPr>
              <w:spacing w:beforeLines="50" w:before="120" w:afterLines="50" w:after="120" w:line="276" w:lineRule="auto"/>
              <w:jc w:val="both"/>
              <w:rPr>
                <w:rFonts w:eastAsia="宋体..閰繷." w:cs="Times New Roman"/>
                <w:szCs w:val="18"/>
              </w:rPr>
            </w:pPr>
            <w:r w:rsidRPr="00DD148E">
              <w:t>13.00%</w:t>
            </w:r>
          </w:p>
        </w:tc>
        <w:tc>
          <w:tcPr>
            <w:tcW w:w="722" w:type="pct"/>
            <w:tcBorders>
              <w:top w:val="nil"/>
              <w:left w:val="nil"/>
              <w:bottom w:val="single" w:sz="4" w:space="0" w:color="auto"/>
              <w:right w:val="nil"/>
            </w:tcBorders>
            <w:shd w:val="clear" w:color="auto" w:fill="auto"/>
            <w:noWrap/>
          </w:tcPr>
          <w:p w14:paraId="2D80700C" w14:textId="410F4082" w:rsidR="003C3492" w:rsidRPr="007375B2" w:rsidRDefault="003C3492" w:rsidP="003B1C7E">
            <w:pPr>
              <w:spacing w:beforeLines="50" w:before="120" w:afterLines="50" w:after="120" w:line="276" w:lineRule="auto"/>
              <w:jc w:val="both"/>
              <w:rPr>
                <w:rFonts w:eastAsia="宋体..閰繷." w:cs="Times New Roman"/>
                <w:szCs w:val="18"/>
              </w:rPr>
            </w:pPr>
            <w:r w:rsidRPr="00DD148E">
              <w:t>9.00%</w:t>
            </w:r>
          </w:p>
        </w:tc>
        <w:tc>
          <w:tcPr>
            <w:tcW w:w="722" w:type="pct"/>
            <w:tcBorders>
              <w:top w:val="nil"/>
              <w:left w:val="nil"/>
              <w:bottom w:val="single" w:sz="4" w:space="0" w:color="auto"/>
              <w:right w:val="nil"/>
            </w:tcBorders>
            <w:shd w:val="clear" w:color="auto" w:fill="auto"/>
            <w:noWrap/>
          </w:tcPr>
          <w:p w14:paraId="33573CF3" w14:textId="012A9F43" w:rsidR="003C3492" w:rsidRPr="007375B2" w:rsidRDefault="003C3492" w:rsidP="003B1C7E">
            <w:pPr>
              <w:spacing w:beforeLines="50" w:before="120" w:afterLines="50" w:after="120" w:line="276" w:lineRule="auto"/>
              <w:jc w:val="both"/>
              <w:rPr>
                <w:rFonts w:eastAsia="宋体..閰繷." w:cs="Times New Roman"/>
                <w:szCs w:val="18"/>
              </w:rPr>
            </w:pPr>
            <w:r w:rsidRPr="00DD148E">
              <w:t>5.00%</w:t>
            </w:r>
          </w:p>
        </w:tc>
      </w:tr>
      <w:tr w:rsidR="00A535B0" w:rsidRPr="007375B2" w14:paraId="0A7DED28" w14:textId="77777777" w:rsidTr="003B1C7E">
        <w:trPr>
          <w:trHeight w:val="61"/>
        </w:trPr>
        <w:tc>
          <w:tcPr>
            <w:tcW w:w="1390" w:type="pct"/>
            <w:tcBorders>
              <w:top w:val="single" w:sz="4" w:space="0" w:color="auto"/>
              <w:left w:val="nil"/>
              <w:right w:val="nil"/>
            </w:tcBorders>
            <w:shd w:val="clear" w:color="auto" w:fill="auto"/>
            <w:noWrap/>
            <w:vAlign w:val="center"/>
          </w:tcPr>
          <w:p w14:paraId="0F6714BA" w14:textId="676B3B65" w:rsidR="00A535B0" w:rsidRPr="0030754F" w:rsidRDefault="0041150E" w:rsidP="003B1C7E">
            <w:pPr>
              <w:spacing w:beforeLines="50" w:before="120" w:afterLines="50" w:after="120" w:line="276" w:lineRule="auto"/>
              <w:jc w:val="both"/>
              <w:rPr>
                <w:rFonts w:eastAsia="宋体..閰繷." w:cs="Times New Roman"/>
                <w:szCs w:val="18"/>
              </w:rPr>
            </w:pPr>
            <w:r w:rsidRPr="00B656C1">
              <w:rPr>
                <w:rFonts w:eastAsia="宋体..閰繷." w:cs="Times New Roman" w:hint="eastAsia"/>
                <w:b/>
                <w:bCs/>
                <w:szCs w:val="18"/>
              </w:rPr>
              <w:t>政企市场</w:t>
            </w:r>
          </w:p>
        </w:tc>
        <w:tc>
          <w:tcPr>
            <w:tcW w:w="722" w:type="pct"/>
            <w:tcBorders>
              <w:top w:val="single" w:sz="4" w:space="0" w:color="auto"/>
              <w:left w:val="nil"/>
              <w:right w:val="nil"/>
            </w:tcBorders>
            <w:shd w:val="clear" w:color="auto" w:fill="auto"/>
            <w:noWrap/>
            <w:vAlign w:val="center"/>
          </w:tcPr>
          <w:p w14:paraId="0092E669" w14:textId="77777777" w:rsidR="00A535B0" w:rsidRPr="007375B2" w:rsidRDefault="00A535B0" w:rsidP="003B1C7E">
            <w:pPr>
              <w:spacing w:beforeLines="50" w:before="120" w:afterLines="50" w:after="120" w:line="276" w:lineRule="auto"/>
              <w:jc w:val="both"/>
              <w:rPr>
                <w:rFonts w:eastAsia="宋体..閰繷." w:cs="Times New Roman"/>
                <w:szCs w:val="18"/>
              </w:rPr>
            </w:pPr>
          </w:p>
        </w:tc>
        <w:tc>
          <w:tcPr>
            <w:tcW w:w="722" w:type="pct"/>
            <w:tcBorders>
              <w:top w:val="single" w:sz="4" w:space="0" w:color="auto"/>
              <w:left w:val="nil"/>
              <w:right w:val="nil"/>
            </w:tcBorders>
            <w:shd w:val="clear" w:color="auto" w:fill="auto"/>
            <w:noWrap/>
            <w:vAlign w:val="center"/>
          </w:tcPr>
          <w:p w14:paraId="1E9DFE86" w14:textId="77777777" w:rsidR="00A535B0" w:rsidRPr="007375B2" w:rsidRDefault="00A535B0" w:rsidP="003B1C7E">
            <w:pPr>
              <w:spacing w:beforeLines="50" w:before="120" w:afterLines="50" w:after="120" w:line="276" w:lineRule="auto"/>
              <w:jc w:val="both"/>
              <w:rPr>
                <w:rFonts w:eastAsia="宋体..閰繷." w:cs="Times New Roman"/>
                <w:szCs w:val="18"/>
              </w:rPr>
            </w:pPr>
          </w:p>
        </w:tc>
        <w:tc>
          <w:tcPr>
            <w:tcW w:w="722" w:type="pct"/>
            <w:tcBorders>
              <w:top w:val="single" w:sz="4" w:space="0" w:color="auto"/>
              <w:left w:val="nil"/>
              <w:right w:val="nil"/>
            </w:tcBorders>
            <w:shd w:val="clear" w:color="auto" w:fill="auto"/>
            <w:noWrap/>
            <w:vAlign w:val="center"/>
          </w:tcPr>
          <w:p w14:paraId="2E3A0CE2" w14:textId="77777777" w:rsidR="00A535B0" w:rsidRPr="007375B2" w:rsidRDefault="00A535B0" w:rsidP="003B1C7E">
            <w:pPr>
              <w:spacing w:beforeLines="50" w:before="120" w:afterLines="50" w:after="120" w:line="276" w:lineRule="auto"/>
              <w:jc w:val="both"/>
              <w:rPr>
                <w:rFonts w:eastAsia="宋体..閰繷." w:cs="Times New Roman"/>
                <w:szCs w:val="18"/>
              </w:rPr>
            </w:pPr>
          </w:p>
        </w:tc>
        <w:tc>
          <w:tcPr>
            <w:tcW w:w="722" w:type="pct"/>
            <w:tcBorders>
              <w:top w:val="single" w:sz="4" w:space="0" w:color="auto"/>
              <w:left w:val="nil"/>
              <w:right w:val="nil"/>
            </w:tcBorders>
            <w:shd w:val="clear" w:color="auto" w:fill="auto"/>
            <w:noWrap/>
            <w:vAlign w:val="center"/>
          </w:tcPr>
          <w:p w14:paraId="040D13E8" w14:textId="77777777" w:rsidR="00A535B0" w:rsidRPr="007375B2" w:rsidRDefault="00A535B0" w:rsidP="003B1C7E">
            <w:pPr>
              <w:spacing w:beforeLines="50" w:before="120" w:afterLines="50" w:after="120" w:line="276" w:lineRule="auto"/>
              <w:jc w:val="both"/>
              <w:rPr>
                <w:rFonts w:eastAsia="宋体..閰繷." w:cs="Times New Roman"/>
                <w:szCs w:val="18"/>
              </w:rPr>
            </w:pPr>
          </w:p>
        </w:tc>
        <w:tc>
          <w:tcPr>
            <w:tcW w:w="722" w:type="pct"/>
            <w:tcBorders>
              <w:top w:val="single" w:sz="4" w:space="0" w:color="auto"/>
              <w:left w:val="nil"/>
              <w:right w:val="nil"/>
            </w:tcBorders>
            <w:shd w:val="clear" w:color="auto" w:fill="auto"/>
            <w:noWrap/>
            <w:vAlign w:val="center"/>
          </w:tcPr>
          <w:p w14:paraId="04C1664B" w14:textId="77777777" w:rsidR="00A535B0" w:rsidRPr="007375B2" w:rsidRDefault="00A535B0" w:rsidP="003B1C7E">
            <w:pPr>
              <w:spacing w:beforeLines="50" w:before="120" w:afterLines="50" w:after="120" w:line="276" w:lineRule="auto"/>
              <w:jc w:val="both"/>
              <w:rPr>
                <w:rFonts w:eastAsia="宋体..閰繷." w:cs="Times New Roman"/>
                <w:szCs w:val="18"/>
              </w:rPr>
            </w:pPr>
          </w:p>
        </w:tc>
      </w:tr>
      <w:tr w:rsidR="00B84030" w:rsidRPr="007375B2" w14:paraId="51DF1B03" w14:textId="77777777" w:rsidTr="003B1C7E">
        <w:trPr>
          <w:trHeight w:val="61"/>
        </w:trPr>
        <w:tc>
          <w:tcPr>
            <w:tcW w:w="1390" w:type="pct"/>
            <w:tcBorders>
              <w:top w:val="nil"/>
              <w:left w:val="nil"/>
              <w:right w:val="nil"/>
            </w:tcBorders>
            <w:shd w:val="clear" w:color="auto" w:fill="auto"/>
            <w:noWrap/>
            <w:vAlign w:val="center"/>
          </w:tcPr>
          <w:p w14:paraId="1BFFBF35" w14:textId="37FCE3C6" w:rsidR="00B84030" w:rsidRPr="007375B2" w:rsidRDefault="00B84030" w:rsidP="003B1C7E">
            <w:pPr>
              <w:spacing w:beforeLines="50" w:before="120" w:afterLines="50" w:after="120" w:line="276" w:lineRule="auto"/>
              <w:jc w:val="both"/>
              <w:rPr>
                <w:rFonts w:eastAsia="宋体..閰繷." w:cs="Times New Roman"/>
                <w:szCs w:val="18"/>
              </w:rPr>
            </w:pPr>
            <w:r w:rsidRPr="007375B2">
              <w:rPr>
                <w:rFonts w:eastAsia="宋体..閰繷." w:cs="Times New Roman" w:hint="eastAsia"/>
                <w:szCs w:val="18"/>
              </w:rPr>
              <w:t>收入</w:t>
            </w:r>
          </w:p>
        </w:tc>
        <w:tc>
          <w:tcPr>
            <w:tcW w:w="722" w:type="pct"/>
            <w:tcBorders>
              <w:top w:val="nil"/>
              <w:left w:val="nil"/>
              <w:right w:val="nil"/>
            </w:tcBorders>
            <w:shd w:val="clear" w:color="auto" w:fill="auto"/>
            <w:noWrap/>
            <w:vAlign w:val="center"/>
          </w:tcPr>
          <w:p w14:paraId="3D5721C5" w14:textId="7D4FF540" w:rsidR="00B84030" w:rsidRPr="007375B2" w:rsidRDefault="00B84030" w:rsidP="003B1C7E">
            <w:pPr>
              <w:spacing w:beforeLines="50" w:before="120" w:afterLines="50" w:after="120" w:line="276" w:lineRule="auto"/>
              <w:jc w:val="both"/>
              <w:rPr>
                <w:rFonts w:eastAsia="宋体..閰繷." w:cs="Times New Roman"/>
                <w:szCs w:val="18"/>
              </w:rPr>
            </w:pPr>
            <w:r w:rsidRPr="00D56D37">
              <w:rPr>
                <w:rFonts w:eastAsia="宋体..閰繷." w:cs="Times New Roman"/>
                <w:szCs w:val="18"/>
              </w:rPr>
              <w:t>137,100</w:t>
            </w:r>
          </w:p>
        </w:tc>
        <w:tc>
          <w:tcPr>
            <w:tcW w:w="722" w:type="pct"/>
            <w:tcBorders>
              <w:top w:val="nil"/>
              <w:left w:val="nil"/>
              <w:right w:val="nil"/>
            </w:tcBorders>
            <w:shd w:val="clear" w:color="auto" w:fill="auto"/>
            <w:noWrap/>
            <w:vAlign w:val="center"/>
          </w:tcPr>
          <w:p w14:paraId="52B745AA" w14:textId="227A40B3" w:rsidR="00B84030" w:rsidRPr="007375B2" w:rsidRDefault="00B84030" w:rsidP="003B1C7E">
            <w:pPr>
              <w:spacing w:beforeLines="50" w:before="120" w:afterLines="50" w:after="120" w:line="276" w:lineRule="auto"/>
              <w:jc w:val="both"/>
              <w:rPr>
                <w:rFonts w:eastAsia="宋体..閰繷." w:cs="Times New Roman"/>
                <w:szCs w:val="18"/>
              </w:rPr>
            </w:pPr>
            <w:r w:rsidRPr="00067492">
              <w:rPr>
                <w:rFonts w:eastAsia="宋体..閰繷." w:cs="Times New Roman"/>
                <w:szCs w:val="18"/>
              </w:rPr>
              <w:t>168,200</w:t>
            </w:r>
          </w:p>
        </w:tc>
        <w:tc>
          <w:tcPr>
            <w:tcW w:w="722" w:type="pct"/>
            <w:tcBorders>
              <w:top w:val="nil"/>
              <w:left w:val="nil"/>
              <w:right w:val="nil"/>
            </w:tcBorders>
            <w:shd w:val="clear" w:color="auto" w:fill="auto"/>
            <w:noWrap/>
          </w:tcPr>
          <w:p w14:paraId="5BF86AAA" w14:textId="57E51077" w:rsidR="00B84030" w:rsidRPr="007375B2" w:rsidRDefault="00B84030" w:rsidP="003B1C7E">
            <w:pPr>
              <w:spacing w:beforeLines="50" w:before="120" w:afterLines="50" w:after="120" w:line="276" w:lineRule="auto"/>
              <w:jc w:val="both"/>
              <w:rPr>
                <w:rFonts w:eastAsia="宋体..閰繷." w:cs="Times New Roman"/>
                <w:szCs w:val="18"/>
              </w:rPr>
            </w:pPr>
            <w:r w:rsidRPr="00052DFB">
              <w:t xml:space="preserve">210,250 </w:t>
            </w:r>
          </w:p>
        </w:tc>
        <w:tc>
          <w:tcPr>
            <w:tcW w:w="722" w:type="pct"/>
            <w:tcBorders>
              <w:top w:val="nil"/>
              <w:left w:val="nil"/>
              <w:right w:val="nil"/>
            </w:tcBorders>
            <w:shd w:val="clear" w:color="auto" w:fill="auto"/>
            <w:noWrap/>
          </w:tcPr>
          <w:p w14:paraId="6420E8C7" w14:textId="09B58B23" w:rsidR="00B84030" w:rsidRPr="007375B2" w:rsidRDefault="00B84030" w:rsidP="003B1C7E">
            <w:pPr>
              <w:spacing w:beforeLines="50" w:before="120" w:afterLines="50" w:after="120" w:line="276" w:lineRule="auto"/>
              <w:jc w:val="both"/>
              <w:rPr>
                <w:rFonts w:eastAsia="宋体..閰繷." w:cs="Times New Roman"/>
                <w:szCs w:val="18"/>
              </w:rPr>
            </w:pPr>
            <w:r w:rsidRPr="00052DFB">
              <w:t xml:space="preserve">258,608 </w:t>
            </w:r>
          </w:p>
        </w:tc>
        <w:tc>
          <w:tcPr>
            <w:tcW w:w="722" w:type="pct"/>
            <w:tcBorders>
              <w:top w:val="nil"/>
              <w:left w:val="nil"/>
              <w:right w:val="nil"/>
            </w:tcBorders>
            <w:shd w:val="clear" w:color="auto" w:fill="auto"/>
            <w:noWrap/>
          </w:tcPr>
          <w:p w14:paraId="5D8EFF25" w14:textId="14A77264" w:rsidR="00B84030" w:rsidRPr="007375B2" w:rsidRDefault="00B84030" w:rsidP="003B1C7E">
            <w:pPr>
              <w:spacing w:beforeLines="50" w:before="120" w:afterLines="50" w:after="120" w:line="276" w:lineRule="auto"/>
              <w:jc w:val="both"/>
              <w:rPr>
                <w:rFonts w:eastAsia="宋体..閰繷." w:cs="Times New Roman"/>
                <w:szCs w:val="18"/>
              </w:rPr>
            </w:pPr>
            <w:r w:rsidRPr="00052DFB">
              <w:t xml:space="preserve">312,915 </w:t>
            </w:r>
          </w:p>
        </w:tc>
      </w:tr>
      <w:tr w:rsidR="00EF7C9B" w:rsidRPr="007375B2" w14:paraId="64B9C974" w14:textId="77777777" w:rsidTr="003B1C7E">
        <w:trPr>
          <w:trHeight w:val="122"/>
        </w:trPr>
        <w:tc>
          <w:tcPr>
            <w:tcW w:w="1390" w:type="pct"/>
            <w:tcBorders>
              <w:left w:val="nil"/>
              <w:bottom w:val="single" w:sz="4" w:space="0" w:color="auto"/>
              <w:right w:val="nil"/>
            </w:tcBorders>
            <w:shd w:val="clear" w:color="auto" w:fill="auto"/>
            <w:noWrap/>
            <w:vAlign w:val="center"/>
          </w:tcPr>
          <w:p w14:paraId="771C237E" w14:textId="57BA8330" w:rsidR="00EF7C9B" w:rsidRPr="007375B2" w:rsidRDefault="00EF7C9B" w:rsidP="003B1C7E">
            <w:pPr>
              <w:spacing w:beforeLines="50" w:before="120" w:afterLines="50" w:after="120" w:line="276" w:lineRule="auto"/>
              <w:jc w:val="both"/>
              <w:rPr>
                <w:rFonts w:eastAsia="宋体..閰繷." w:cs="Times New Roman"/>
                <w:szCs w:val="18"/>
              </w:rPr>
            </w:pPr>
            <w:r w:rsidRPr="007375B2">
              <w:rPr>
                <w:rFonts w:eastAsia="宋体..閰繷." w:cs="Times New Roman" w:hint="eastAsia"/>
                <w:szCs w:val="18"/>
              </w:rPr>
              <w:lastRenderedPageBreak/>
              <w:t>增长率</w:t>
            </w:r>
          </w:p>
        </w:tc>
        <w:tc>
          <w:tcPr>
            <w:tcW w:w="722" w:type="pct"/>
            <w:tcBorders>
              <w:left w:val="nil"/>
              <w:bottom w:val="single" w:sz="4" w:space="0" w:color="auto"/>
              <w:right w:val="nil"/>
            </w:tcBorders>
            <w:shd w:val="clear" w:color="auto" w:fill="auto"/>
            <w:noWrap/>
            <w:vAlign w:val="center"/>
          </w:tcPr>
          <w:p w14:paraId="0D8A9E13" w14:textId="4258177B" w:rsidR="00EF7C9B" w:rsidRPr="007375B2" w:rsidRDefault="00EF7C9B" w:rsidP="003B1C7E">
            <w:pPr>
              <w:spacing w:beforeLines="50" w:before="120" w:afterLines="50" w:after="120" w:line="276" w:lineRule="auto"/>
              <w:jc w:val="both"/>
              <w:rPr>
                <w:rFonts w:eastAsia="宋体..閰繷." w:cs="Times New Roman"/>
                <w:szCs w:val="18"/>
              </w:rPr>
            </w:pPr>
            <w:r w:rsidRPr="00EF7C9B">
              <w:rPr>
                <w:rFonts w:eastAsia="宋体..閰繷." w:cs="Times New Roman"/>
                <w:szCs w:val="18"/>
              </w:rPr>
              <w:t>21.40%</w:t>
            </w:r>
          </w:p>
        </w:tc>
        <w:tc>
          <w:tcPr>
            <w:tcW w:w="722" w:type="pct"/>
            <w:tcBorders>
              <w:left w:val="nil"/>
              <w:bottom w:val="single" w:sz="4" w:space="0" w:color="auto"/>
              <w:right w:val="nil"/>
            </w:tcBorders>
            <w:shd w:val="clear" w:color="auto" w:fill="auto"/>
            <w:noWrap/>
            <w:vAlign w:val="center"/>
          </w:tcPr>
          <w:p w14:paraId="19DEF7C7" w14:textId="6F5C0000" w:rsidR="00EF7C9B" w:rsidRPr="007375B2" w:rsidRDefault="00EF7C9B" w:rsidP="003B1C7E">
            <w:pPr>
              <w:spacing w:beforeLines="50" w:before="120" w:afterLines="50" w:after="120" w:line="276" w:lineRule="auto"/>
              <w:jc w:val="both"/>
              <w:rPr>
                <w:rFonts w:eastAsia="宋体..閰繷." w:cs="Times New Roman"/>
                <w:szCs w:val="18"/>
              </w:rPr>
            </w:pPr>
            <w:r w:rsidRPr="00EF7C9B">
              <w:rPr>
                <w:rFonts w:eastAsia="宋体..閰繷." w:cs="Times New Roman"/>
                <w:szCs w:val="18"/>
              </w:rPr>
              <w:t>22.68%</w:t>
            </w:r>
          </w:p>
        </w:tc>
        <w:tc>
          <w:tcPr>
            <w:tcW w:w="722" w:type="pct"/>
            <w:tcBorders>
              <w:left w:val="nil"/>
              <w:bottom w:val="single" w:sz="4" w:space="0" w:color="auto"/>
              <w:right w:val="nil"/>
            </w:tcBorders>
            <w:shd w:val="clear" w:color="auto" w:fill="auto"/>
            <w:noWrap/>
          </w:tcPr>
          <w:p w14:paraId="19D43B9A" w14:textId="0CFCA397" w:rsidR="00EF7C9B" w:rsidRPr="007375B2" w:rsidRDefault="00EF7C9B" w:rsidP="003B1C7E">
            <w:pPr>
              <w:spacing w:beforeLines="50" w:before="120" w:afterLines="50" w:after="120" w:line="276" w:lineRule="auto"/>
              <w:jc w:val="both"/>
              <w:rPr>
                <w:rFonts w:eastAsia="宋体..閰繷." w:cs="Times New Roman"/>
                <w:szCs w:val="18"/>
              </w:rPr>
            </w:pPr>
            <w:r w:rsidRPr="00687BA9">
              <w:t>25.00%</w:t>
            </w:r>
          </w:p>
        </w:tc>
        <w:tc>
          <w:tcPr>
            <w:tcW w:w="722" w:type="pct"/>
            <w:tcBorders>
              <w:left w:val="nil"/>
              <w:bottom w:val="single" w:sz="4" w:space="0" w:color="auto"/>
              <w:right w:val="nil"/>
            </w:tcBorders>
            <w:shd w:val="clear" w:color="auto" w:fill="auto"/>
            <w:noWrap/>
          </w:tcPr>
          <w:p w14:paraId="7DFF4029" w14:textId="531C8B68" w:rsidR="00EF7C9B" w:rsidRPr="007375B2" w:rsidRDefault="00EF7C9B" w:rsidP="003B1C7E">
            <w:pPr>
              <w:spacing w:beforeLines="50" w:before="120" w:afterLines="50" w:after="120" w:line="276" w:lineRule="auto"/>
              <w:jc w:val="both"/>
              <w:rPr>
                <w:rFonts w:eastAsia="宋体..閰繷." w:cs="Times New Roman"/>
                <w:szCs w:val="18"/>
              </w:rPr>
            </w:pPr>
            <w:r w:rsidRPr="00687BA9">
              <w:t>23.00%</w:t>
            </w:r>
          </w:p>
        </w:tc>
        <w:tc>
          <w:tcPr>
            <w:tcW w:w="722" w:type="pct"/>
            <w:tcBorders>
              <w:left w:val="nil"/>
              <w:bottom w:val="single" w:sz="4" w:space="0" w:color="auto"/>
              <w:right w:val="nil"/>
            </w:tcBorders>
            <w:shd w:val="clear" w:color="auto" w:fill="auto"/>
            <w:noWrap/>
          </w:tcPr>
          <w:p w14:paraId="444D4E18" w14:textId="091CED6D" w:rsidR="00EF7C9B" w:rsidRPr="007375B2" w:rsidRDefault="00EF7C9B" w:rsidP="003B1C7E">
            <w:pPr>
              <w:spacing w:beforeLines="50" w:before="120" w:afterLines="50" w:after="120" w:line="276" w:lineRule="auto"/>
              <w:jc w:val="both"/>
              <w:rPr>
                <w:rFonts w:eastAsia="宋体..閰繷." w:cs="Times New Roman"/>
                <w:szCs w:val="18"/>
              </w:rPr>
            </w:pPr>
            <w:r w:rsidRPr="00687BA9">
              <w:t>21.00%</w:t>
            </w:r>
          </w:p>
        </w:tc>
      </w:tr>
      <w:tr w:rsidR="00B80AC2" w:rsidRPr="007375B2" w14:paraId="01D1F501" w14:textId="77777777" w:rsidTr="003B1C7E">
        <w:trPr>
          <w:trHeight w:val="122"/>
        </w:trPr>
        <w:tc>
          <w:tcPr>
            <w:tcW w:w="1390" w:type="pct"/>
            <w:tcBorders>
              <w:top w:val="single" w:sz="4" w:space="0" w:color="auto"/>
              <w:left w:val="nil"/>
              <w:right w:val="nil"/>
            </w:tcBorders>
            <w:shd w:val="clear" w:color="auto" w:fill="auto"/>
            <w:noWrap/>
            <w:vAlign w:val="center"/>
          </w:tcPr>
          <w:p w14:paraId="18C74A37" w14:textId="33E49108" w:rsidR="00B80AC2" w:rsidRPr="007375B2" w:rsidRDefault="00D56D37" w:rsidP="003B1C7E">
            <w:pPr>
              <w:spacing w:beforeLines="50" w:before="120" w:afterLines="50" w:after="120" w:line="276" w:lineRule="auto"/>
              <w:jc w:val="both"/>
              <w:rPr>
                <w:rFonts w:eastAsia="宋体..閰繷." w:cs="Times New Roman"/>
                <w:szCs w:val="18"/>
              </w:rPr>
            </w:pPr>
            <w:r>
              <w:rPr>
                <w:rFonts w:eastAsia="宋体..閰繷." w:cs="Times New Roman" w:hint="eastAsia"/>
                <w:b/>
                <w:bCs/>
                <w:szCs w:val="18"/>
              </w:rPr>
              <w:t>新兴</w:t>
            </w:r>
            <w:r w:rsidR="00B80AC2" w:rsidRPr="00B656C1">
              <w:rPr>
                <w:rFonts w:eastAsia="宋体..閰繷." w:cs="Times New Roman" w:hint="eastAsia"/>
                <w:b/>
                <w:bCs/>
                <w:szCs w:val="18"/>
              </w:rPr>
              <w:t>市场</w:t>
            </w:r>
          </w:p>
        </w:tc>
        <w:tc>
          <w:tcPr>
            <w:tcW w:w="722" w:type="pct"/>
            <w:tcBorders>
              <w:top w:val="single" w:sz="4" w:space="0" w:color="auto"/>
              <w:left w:val="nil"/>
              <w:right w:val="nil"/>
            </w:tcBorders>
            <w:shd w:val="clear" w:color="auto" w:fill="auto"/>
            <w:noWrap/>
            <w:vAlign w:val="center"/>
          </w:tcPr>
          <w:p w14:paraId="3076E956" w14:textId="77777777" w:rsidR="00B80AC2" w:rsidRPr="00EF7C9B" w:rsidRDefault="00B80AC2" w:rsidP="003B1C7E">
            <w:pPr>
              <w:spacing w:beforeLines="50" w:before="120" w:afterLines="50" w:after="120" w:line="276" w:lineRule="auto"/>
              <w:jc w:val="both"/>
              <w:rPr>
                <w:rFonts w:eastAsia="宋体..閰繷." w:cs="Times New Roman"/>
                <w:szCs w:val="18"/>
              </w:rPr>
            </w:pPr>
          </w:p>
        </w:tc>
        <w:tc>
          <w:tcPr>
            <w:tcW w:w="722" w:type="pct"/>
            <w:tcBorders>
              <w:top w:val="single" w:sz="4" w:space="0" w:color="auto"/>
              <w:left w:val="nil"/>
              <w:right w:val="nil"/>
            </w:tcBorders>
            <w:shd w:val="clear" w:color="auto" w:fill="auto"/>
            <w:noWrap/>
            <w:vAlign w:val="center"/>
          </w:tcPr>
          <w:p w14:paraId="5CE25B69" w14:textId="77777777" w:rsidR="00B80AC2" w:rsidRPr="00EF7C9B" w:rsidRDefault="00B80AC2" w:rsidP="003B1C7E">
            <w:pPr>
              <w:spacing w:beforeLines="50" w:before="120" w:afterLines="50" w:after="120" w:line="276" w:lineRule="auto"/>
              <w:jc w:val="both"/>
              <w:rPr>
                <w:rFonts w:eastAsia="宋体..閰繷." w:cs="Times New Roman"/>
                <w:szCs w:val="18"/>
              </w:rPr>
            </w:pPr>
          </w:p>
        </w:tc>
        <w:tc>
          <w:tcPr>
            <w:tcW w:w="722" w:type="pct"/>
            <w:tcBorders>
              <w:top w:val="single" w:sz="4" w:space="0" w:color="auto"/>
              <w:left w:val="nil"/>
              <w:right w:val="nil"/>
            </w:tcBorders>
            <w:shd w:val="clear" w:color="auto" w:fill="auto"/>
            <w:noWrap/>
            <w:vAlign w:val="center"/>
          </w:tcPr>
          <w:p w14:paraId="72D9BCCF" w14:textId="77777777" w:rsidR="00B80AC2" w:rsidRPr="00687BA9" w:rsidRDefault="00B80AC2" w:rsidP="003B1C7E">
            <w:pPr>
              <w:spacing w:beforeLines="50" w:before="120" w:afterLines="50" w:after="120" w:line="276" w:lineRule="auto"/>
              <w:jc w:val="both"/>
            </w:pPr>
          </w:p>
        </w:tc>
        <w:tc>
          <w:tcPr>
            <w:tcW w:w="722" w:type="pct"/>
            <w:tcBorders>
              <w:top w:val="single" w:sz="4" w:space="0" w:color="auto"/>
              <w:left w:val="nil"/>
              <w:right w:val="nil"/>
            </w:tcBorders>
            <w:shd w:val="clear" w:color="auto" w:fill="auto"/>
            <w:noWrap/>
            <w:vAlign w:val="center"/>
          </w:tcPr>
          <w:p w14:paraId="262D4018" w14:textId="77777777" w:rsidR="00B80AC2" w:rsidRPr="00687BA9" w:rsidRDefault="00B80AC2" w:rsidP="003B1C7E">
            <w:pPr>
              <w:spacing w:beforeLines="50" w:before="120" w:afterLines="50" w:after="120" w:line="276" w:lineRule="auto"/>
              <w:jc w:val="both"/>
            </w:pPr>
          </w:p>
        </w:tc>
        <w:tc>
          <w:tcPr>
            <w:tcW w:w="722" w:type="pct"/>
            <w:tcBorders>
              <w:top w:val="single" w:sz="4" w:space="0" w:color="auto"/>
              <w:left w:val="nil"/>
              <w:right w:val="nil"/>
            </w:tcBorders>
            <w:shd w:val="clear" w:color="auto" w:fill="auto"/>
            <w:noWrap/>
            <w:vAlign w:val="center"/>
          </w:tcPr>
          <w:p w14:paraId="3100ABF7" w14:textId="77777777" w:rsidR="00B80AC2" w:rsidRPr="00687BA9" w:rsidRDefault="00B80AC2" w:rsidP="003B1C7E">
            <w:pPr>
              <w:spacing w:beforeLines="50" w:before="120" w:afterLines="50" w:after="120" w:line="276" w:lineRule="auto"/>
              <w:jc w:val="both"/>
            </w:pPr>
          </w:p>
        </w:tc>
      </w:tr>
      <w:tr w:rsidR="00B84030" w:rsidRPr="007375B2" w14:paraId="3896D82E" w14:textId="77777777" w:rsidTr="003B1C7E">
        <w:trPr>
          <w:trHeight w:val="122"/>
        </w:trPr>
        <w:tc>
          <w:tcPr>
            <w:tcW w:w="1390" w:type="pct"/>
            <w:tcBorders>
              <w:left w:val="nil"/>
              <w:right w:val="nil"/>
            </w:tcBorders>
            <w:shd w:val="clear" w:color="auto" w:fill="auto"/>
            <w:noWrap/>
            <w:vAlign w:val="center"/>
          </w:tcPr>
          <w:p w14:paraId="546ED7CC" w14:textId="2C02704A" w:rsidR="00B84030" w:rsidRPr="007375B2" w:rsidRDefault="00B84030" w:rsidP="003B1C7E">
            <w:pPr>
              <w:spacing w:beforeLines="50" w:before="120" w:afterLines="50" w:after="120" w:line="276" w:lineRule="auto"/>
              <w:jc w:val="both"/>
              <w:rPr>
                <w:rFonts w:eastAsia="宋体..閰繷." w:cs="Times New Roman"/>
                <w:szCs w:val="18"/>
              </w:rPr>
            </w:pPr>
            <w:r w:rsidRPr="007375B2">
              <w:rPr>
                <w:rFonts w:eastAsia="宋体..閰繷." w:cs="Times New Roman" w:hint="eastAsia"/>
                <w:szCs w:val="18"/>
              </w:rPr>
              <w:t>收入</w:t>
            </w:r>
          </w:p>
        </w:tc>
        <w:tc>
          <w:tcPr>
            <w:tcW w:w="722" w:type="pct"/>
            <w:tcBorders>
              <w:left w:val="nil"/>
              <w:right w:val="nil"/>
            </w:tcBorders>
            <w:shd w:val="clear" w:color="auto" w:fill="auto"/>
            <w:noWrap/>
            <w:vAlign w:val="center"/>
          </w:tcPr>
          <w:p w14:paraId="3B59A1EC" w14:textId="68AAAEBC" w:rsidR="00B84030" w:rsidRPr="00EF7C9B" w:rsidRDefault="00B84030" w:rsidP="003B1C7E">
            <w:pPr>
              <w:spacing w:beforeLines="50" w:before="120" w:afterLines="50" w:after="120" w:line="276" w:lineRule="auto"/>
              <w:jc w:val="both"/>
              <w:rPr>
                <w:rFonts w:eastAsia="宋体..閰繷." w:cs="Times New Roman"/>
                <w:szCs w:val="18"/>
              </w:rPr>
            </w:pPr>
            <w:r w:rsidRPr="00D56D37">
              <w:rPr>
                <w:rFonts w:eastAsia="宋体..閰繷." w:cs="Times New Roman"/>
                <w:szCs w:val="18"/>
              </w:rPr>
              <w:t>30,300</w:t>
            </w:r>
          </w:p>
        </w:tc>
        <w:tc>
          <w:tcPr>
            <w:tcW w:w="722" w:type="pct"/>
            <w:tcBorders>
              <w:left w:val="nil"/>
              <w:right w:val="nil"/>
            </w:tcBorders>
            <w:shd w:val="clear" w:color="auto" w:fill="auto"/>
            <w:noWrap/>
            <w:vAlign w:val="center"/>
          </w:tcPr>
          <w:p w14:paraId="78A5BB64" w14:textId="56C2F0A3" w:rsidR="00B84030" w:rsidRPr="00EF7C9B" w:rsidRDefault="00B84030" w:rsidP="003B1C7E">
            <w:pPr>
              <w:spacing w:beforeLines="50" w:before="120" w:afterLines="50" w:after="120" w:line="276" w:lineRule="auto"/>
              <w:jc w:val="both"/>
              <w:rPr>
                <w:rFonts w:eastAsia="宋体..閰繷." w:cs="Times New Roman"/>
                <w:szCs w:val="18"/>
              </w:rPr>
            </w:pPr>
            <w:r w:rsidRPr="00067492">
              <w:rPr>
                <w:rFonts w:eastAsia="宋体..閰繷." w:cs="Times New Roman"/>
                <w:szCs w:val="18"/>
              </w:rPr>
              <w:t>38,500</w:t>
            </w:r>
          </w:p>
        </w:tc>
        <w:tc>
          <w:tcPr>
            <w:tcW w:w="722" w:type="pct"/>
            <w:tcBorders>
              <w:left w:val="nil"/>
              <w:right w:val="nil"/>
            </w:tcBorders>
            <w:shd w:val="clear" w:color="auto" w:fill="auto"/>
            <w:noWrap/>
          </w:tcPr>
          <w:p w14:paraId="0912D14F" w14:textId="78AD2C57" w:rsidR="00B84030" w:rsidRPr="00687BA9" w:rsidRDefault="00B84030" w:rsidP="003B1C7E">
            <w:pPr>
              <w:spacing w:beforeLines="50" w:before="120" w:afterLines="50" w:after="120" w:line="276" w:lineRule="auto"/>
              <w:jc w:val="both"/>
            </w:pPr>
            <w:r w:rsidRPr="00584A4C">
              <w:t xml:space="preserve">47,740 </w:t>
            </w:r>
          </w:p>
        </w:tc>
        <w:tc>
          <w:tcPr>
            <w:tcW w:w="722" w:type="pct"/>
            <w:tcBorders>
              <w:left w:val="nil"/>
              <w:right w:val="nil"/>
            </w:tcBorders>
            <w:shd w:val="clear" w:color="auto" w:fill="auto"/>
            <w:noWrap/>
          </w:tcPr>
          <w:p w14:paraId="31F47F6B" w14:textId="268AEE95" w:rsidR="00B84030" w:rsidRPr="00687BA9" w:rsidRDefault="00B84030" w:rsidP="003B1C7E">
            <w:pPr>
              <w:spacing w:beforeLines="50" w:before="120" w:afterLines="50" w:after="120" w:line="276" w:lineRule="auto"/>
              <w:jc w:val="both"/>
            </w:pPr>
            <w:r w:rsidRPr="00584A4C">
              <w:t xml:space="preserve">57,288 </w:t>
            </w:r>
          </w:p>
        </w:tc>
        <w:tc>
          <w:tcPr>
            <w:tcW w:w="722" w:type="pct"/>
            <w:tcBorders>
              <w:left w:val="nil"/>
              <w:right w:val="nil"/>
            </w:tcBorders>
            <w:shd w:val="clear" w:color="auto" w:fill="auto"/>
            <w:noWrap/>
          </w:tcPr>
          <w:p w14:paraId="0BC8FCCC" w14:textId="3AEF900A" w:rsidR="00B84030" w:rsidRPr="00687BA9" w:rsidRDefault="00B84030" w:rsidP="003B1C7E">
            <w:pPr>
              <w:spacing w:beforeLines="50" w:before="120" w:afterLines="50" w:after="120" w:line="276" w:lineRule="auto"/>
              <w:jc w:val="both"/>
            </w:pPr>
            <w:r w:rsidRPr="00584A4C">
              <w:t xml:space="preserve">66,454 </w:t>
            </w:r>
          </w:p>
        </w:tc>
      </w:tr>
      <w:tr w:rsidR="00B80AC2" w:rsidRPr="007375B2" w14:paraId="298F25B3" w14:textId="77777777" w:rsidTr="003B1C7E">
        <w:trPr>
          <w:trHeight w:val="328"/>
        </w:trPr>
        <w:tc>
          <w:tcPr>
            <w:tcW w:w="1390" w:type="pct"/>
            <w:tcBorders>
              <w:left w:val="nil"/>
              <w:bottom w:val="single" w:sz="4" w:space="0" w:color="auto"/>
              <w:right w:val="nil"/>
            </w:tcBorders>
            <w:shd w:val="clear" w:color="auto" w:fill="auto"/>
            <w:noWrap/>
            <w:vAlign w:val="center"/>
          </w:tcPr>
          <w:p w14:paraId="27601A05" w14:textId="749AA2E4" w:rsidR="00B80AC2" w:rsidRPr="007375B2" w:rsidRDefault="00B80AC2" w:rsidP="003B1C7E">
            <w:pPr>
              <w:spacing w:beforeLines="50" w:before="120" w:afterLines="50" w:after="120" w:line="276" w:lineRule="auto"/>
              <w:jc w:val="both"/>
              <w:rPr>
                <w:rFonts w:eastAsia="宋体..閰繷." w:cs="Times New Roman"/>
                <w:szCs w:val="18"/>
              </w:rPr>
            </w:pPr>
            <w:r w:rsidRPr="007375B2">
              <w:rPr>
                <w:rFonts w:eastAsia="宋体..閰繷." w:cs="Times New Roman" w:hint="eastAsia"/>
                <w:szCs w:val="18"/>
              </w:rPr>
              <w:t>增长率</w:t>
            </w:r>
          </w:p>
        </w:tc>
        <w:tc>
          <w:tcPr>
            <w:tcW w:w="722" w:type="pct"/>
            <w:tcBorders>
              <w:left w:val="nil"/>
              <w:bottom w:val="single" w:sz="4" w:space="0" w:color="auto"/>
              <w:right w:val="nil"/>
            </w:tcBorders>
            <w:shd w:val="clear" w:color="auto" w:fill="auto"/>
            <w:noWrap/>
            <w:vAlign w:val="center"/>
          </w:tcPr>
          <w:p w14:paraId="2CD301EB" w14:textId="6B680720" w:rsidR="00B80AC2" w:rsidRPr="00EF7C9B" w:rsidRDefault="00B80AC2" w:rsidP="003B1C7E">
            <w:pPr>
              <w:spacing w:beforeLines="50" w:before="120" w:afterLines="50" w:after="120" w:line="276" w:lineRule="auto"/>
              <w:jc w:val="both"/>
              <w:rPr>
                <w:rFonts w:eastAsia="宋体..閰繷." w:cs="Times New Roman"/>
                <w:szCs w:val="18"/>
              </w:rPr>
            </w:pPr>
            <w:r w:rsidRPr="00EF7C9B">
              <w:rPr>
                <w:rFonts w:eastAsia="宋体..閰繷." w:cs="Times New Roman"/>
                <w:szCs w:val="18"/>
              </w:rPr>
              <w:t>21.40%</w:t>
            </w:r>
          </w:p>
        </w:tc>
        <w:tc>
          <w:tcPr>
            <w:tcW w:w="722" w:type="pct"/>
            <w:tcBorders>
              <w:left w:val="nil"/>
              <w:bottom w:val="single" w:sz="4" w:space="0" w:color="auto"/>
              <w:right w:val="nil"/>
            </w:tcBorders>
            <w:shd w:val="clear" w:color="auto" w:fill="auto"/>
            <w:noWrap/>
            <w:vAlign w:val="center"/>
          </w:tcPr>
          <w:p w14:paraId="35FD4E84" w14:textId="10E65209" w:rsidR="00B80AC2" w:rsidRPr="00EF7C9B" w:rsidRDefault="00B80AC2" w:rsidP="003B1C7E">
            <w:pPr>
              <w:spacing w:beforeLines="50" w:before="120" w:afterLines="50" w:after="120" w:line="276" w:lineRule="auto"/>
              <w:jc w:val="both"/>
              <w:rPr>
                <w:rFonts w:eastAsia="宋体..閰繷." w:cs="Times New Roman"/>
                <w:szCs w:val="18"/>
              </w:rPr>
            </w:pPr>
            <w:r w:rsidRPr="00EF7C9B">
              <w:rPr>
                <w:rFonts w:eastAsia="宋体..閰繷." w:cs="Times New Roman"/>
                <w:szCs w:val="18"/>
              </w:rPr>
              <w:t>22.68%</w:t>
            </w:r>
          </w:p>
        </w:tc>
        <w:tc>
          <w:tcPr>
            <w:tcW w:w="722" w:type="pct"/>
            <w:tcBorders>
              <w:left w:val="nil"/>
              <w:bottom w:val="single" w:sz="4" w:space="0" w:color="auto"/>
              <w:right w:val="nil"/>
            </w:tcBorders>
            <w:shd w:val="clear" w:color="auto" w:fill="auto"/>
            <w:noWrap/>
          </w:tcPr>
          <w:p w14:paraId="51B9F5FE" w14:textId="6EE5DD09" w:rsidR="00B80AC2" w:rsidRPr="00687BA9" w:rsidRDefault="00B80AC2" w:rsidP="003B1C7E">
            <w:pPr>
              <w:spacing w:beforeLines="50" w:before="120" w:afterLines="50" w:after="120" w:line="276" w:lineRule="auto"/>
              <w:jc w:val="both"/>
            </w:pPr>
            <w:r w:rsidRPr="00687BA9">
              <w:t>25.00%</w:t>
            </w:r>
          </w:p>
        </w:tc>
        <w:tc>
          <w:tcPr>
            <w:tcW w:w="722" w:type="pct"/>
            <w:tcBorders>
              <w:left w:val="nil"/>
              <w:bottom w:val="single" w:sz="4" w:space="0" w:color="auto"/>
              <w:right w:val="nil"/>
            </w:tcBorders>
            <w:shd w:val="clear" w:color="auto" w:fill="auto"/>
            <w:noWrap/>
          </w:tcPr>
          <w:p w14:paraId="661EFB85" w14:textId="035DA433" w:rsidR="00B80AC2" w:rsidRPr="00687BA9" w:rsidRDefault="00B80AC2" w:rsidP="003B1C7E">
            <w:pPr>
              <w:spacing w:beforeLines="50" w:before="120" w:afterLines="50" w:after="120" w:line="276" w:lineRule="auto"/>
              <w:jc w:val="both"/>
            </w:pPr>
            <w:r w:rsidRPr="00687BA9">
              <w:t>23.00%</w:t>
            </w:r>
          </w:p>
        </w:tc>
        <w:tc>
          <w:tcPr>
            <w:tcW w:w="722" w:type="pct"/>
            <w:tcBorders>
              <w:left w:val="nil"/>
              <w:bottom w:val="single" w:sz="4" w:space="0" w:color="auto"/>
              <w:right w:val="nil"/>
            </w:tcBorders>
            <w:shd w:val="clear" w:color="auto" w:fill="auto"/>
            <w:noWrap/>
          </w:tcPr>
          <w:p w14:paraId="4DA40CE2" w14:textId="3A70EACE" w:rsidR="00B80AC2" w:rsidRPr="00687BA9" w:rsidRDefault="00B80AC2" w:rsidP="003B1C7E">
            <w:pPr>
              <w:spacing w:beforeLines="50" w:before="120" w:afterLines="50" w:after="120" w:line="276" w:lineRule="auto"/>
              <w:jc w:val="both"/>
            </w:pPr>
            <w:r w:rsidRPr="00687BA9">
              <w:t>21.00%</w:t>
            </w:r>
          </w:p>
        </w:tc>
      </w:tr>
    </w:tbl>
    <w:p w14:paraId="44667CC3" w14:textId="77777777" w:rsidR="007375B2" w:rsidRPr="006269F1" w:rsidRDefault="007375B2" w:rsidP="00344977">
      <w:pPr>
        <w:pStyle w:val="a4"/>
        <w:spacing w:line="276" w:lineRule="auto"/>
        <w:ind w:leftChars="-54" w:left="-97"/>
        <w:rPr>
          <w:rFonts w:asciiTheme="minorEastAsia" w:eastAsiaTheme="minorEastAsia" w:hAnsiTheme="minorEastAsia"/>
          <w:color w:val="auto"/>
          <w:sz w:val="15"/>
          <w:szCs w:val="15"/>
        </w:rPr>
      </w:pPr>
      <w:r w:rsidRPr="006269F1">
        <w:rPr>
          <w:rFonts w:asciiTheme="minorEastAsia" w:eastAsiaTheme="minorEastAsia" w:hAnsiTheme="minorEastAsia"/>
          <w:color w:val="auto"/>
          <w:sz w:val="15"/>
          <w:szCs w:val="15"/>
        </w:rPr>
        <w:t>资料来源</w:t>
      </w:r>
      <w:r w:rsidRPr="006269F1">
        <w:rPr>
          <w:rFonts w:asciiTheme="minorEastAsia" w:eastAsiaTheme="minorEastAsia" w:hAnsiTheme="minorEastAsia" w:hint="eastAsia"/>
          <w:color w:val="auto"/>
          <w:sz w:val="15"/>
          <w:szCs w:val="15"/>
        </w:rPr>
        <w:t>：公司财报，广发证券（香港）经纪财富研究</w:t>
      </w:r>
    </w:p>
    <w:p w14:paraId="51C62663" w14:textId="099E7A4F" w:rsidR="007375B2" w:rsidRPr="007375B2" w:rsidRDefault="007375B2" w:rsidP="007375B2">
      <w:pPr>
        <w:spacing w:beforeLines="50" w:before="120" w:afterLines="50" w:after="120" w:line="276" w:lineRule="auto"/>
        <w:jc w:val="both"/>
        <w:rPr>
          <w:rFonts w:eastAsia="宋体..閰繷." w:cs="Times New Roman"/>
          <w:szCs w:val="18"/>
        </w:rPr>
      </w:pPr>
      <w:r w:rsidRPr="007375B2">
        <w:rPr>
          <w:rFonts w:eastAsia="宋体..閰繷." w:cs="Times New Roman" w:hint="eastAsia"/>
          <w:szCs w:val="18"/>
        </w:rPr>
        <w:t>我们认为，</w:t>
      </w:r>
      <w:r w:rsidR="00715A17" w:rsidRPr="00715A17">
        <w:rPr>
          <w:rFonts w:eastAsia="宋体..閰繷." w:cs="Times New Roman" w:hint="eastAsia"/>
          <w:szCs w:val="18"/>
        </w:rPr>
        <w:t>公司的资本开支进入到下降周期</w:t>
      </w:r>
      <w:r w:rsidR="00E6136A">
        <w:rPr>
          <w:rFonts w:eastAsia="宋体..閰繷." w:cs="Times New Roman" w:hint="eastAsia"/>
          <w:szCs w:val="18"/>
        </w:rPr>
        <w:t>，未来</w:t>
      </w:r>
      <w:r w:rsidR="004F643E" w:rsidRPr="004F643E">
        <w:rPr>
          <w:rFonts w:eastAsia="宋体..閰繷." w:cs="Times New Roman" w:hint="eastAsia"/>
          <w:szCs w:val="18"/>
        </w:rPr>
        <w:t>折旧摊销及其他</w:t>
      </w:r>
      <w:r w:rsidRPr="007375B2">
        <w:rPr>
          <w:rFonts w:eastAsia="宋体..閰繷." w:cs="Times New Roman" w:hint="eastAsia"/>
          <w:szCs w:val="18"/>
        </w:rPr>
        <w:t>费用率将会</w:t>
      </w:r>
      <w:r w:rsidR="004F643E">
        <w:rPr>
          <w:rFonts w:eastAsia="宋体..閰繷." w:cs="Times New Roman" w:hint="eastAsia"/>
          <w:szCs w:val="18"/>
        </w:rPr>
        <w:t>有所下降</w:t>
      </w:r>
      <w:r w:rsidR="0061564C">
        <w:rPr>
          <w:rFonts w:eastAsia="宋体..閰繷." w:cs="Times New Roman" w:hint="eastAsia"/>
          <w:szCs w:val="18"/>
        </w:rPr>
        <w:t>；</w:t>
      </w:r>
      <w:r w:rsidR="004F643E" w:rsidRPr="004F643E">
        <w:rPr>
          <w:rFonts w:eastAsia="宋体..閰繷." w:cs="Times New Roman" w:hint="eastAsia"/>
          <w:szCs w:val="18"/>
        </w:rPr>
        <w:t xml:space="preserve"> </w:t>
      </w:r>
      <w:r w:rsidR="0061564C">
        <w:rPr>
          <w:rFonts w:eastAsia="宋体..閰繷." w:cs="Times New Roman" w:hint="eastAsia"/>
          <w:szCs w:val="18"/>
        </w:rPr>
        <w:t>公司加大</w:t>
      </w:r>
      <w:r w:rsidR="004F643E" w:rsidRPr="004F643E">
        <w:rPr>
          <w:rFonts w:eastAsia="宋体..閰繷." w:cs="Times New Roman" w:hint="eastAsia"/>
          <w:szCs w:val="18"/>
        </w:rPr>
        <w:t xml:space="preserve"> </w:t>
      </w:r>
      <w:r w:rsidR="0061564C">
        <w:rPr>
          <w:rFonts w:eastAsia="宋体..閰繷." w:cs="Times New Roman" w:hint="eastAsia"/>
          <w:szCs w:val="18"/>
        </w:rPr>
        <w:t>“</w:t>
      </w:r>
      <w:r w:rsidR="0061564C" w:rsidRPr="0061564C">
        <w:rPr>
          <w:rFonts w:eastAsia="宋体..閰繷." w:cs="Times New Roman" w:hint="eastAsia"/>
          <w:szCs w:val="18"/>
        </w:rPr>
        <w:t>网</w:t>
      </w:r>
      <w:r w:rsidR="0061564C">
        <w:rPr>
          <w:rFonts w:eastAsia="宋体..閰繷." w:cs="Times New Roman" w:hint="eastAsia"/>
          <w:szCs w:val="18"/>
        </w:rPr>
        <w:t>+</w:t>
      </w:r>
      <w:r w:rsidR="0061564C" w:rsidRPr="0061564C">
        <w:rPr>
          <w:rFonts w:eastAsia="宋体..閰繷." w:cs="Times New Roman" w:hint="eastAsia"/>
          <w:szCs w:val="18"/>
        </w:rPr>
        <w:t>云</w:t>
      </w:r>
      <w:r w:rsidR="0061564C" w:rsidRPr="0061564C">
        <w:rPr>
          <w:rFonts w:eastAsia="宋体..閰繷." w:cs="Times New Roman" w:hint="eastAsia"/>
          <w:szCs w:val="18"/>
        </w:rPr>
        <w:t>+DICT</w:t>
      </w:r>
      <w:r w:rsidR="0061564C">
        <w:rPr>
          <w:rFonts w:eastAsia="宋体..閰繷." w:cs="Times New Roman" w:hint="eastAsia"/>
          <w:szCs w:val="18"/>
        </w:rPr>
        <w:t>”方面的投入，</w:t>
      </w:r>
      <w:r w:rsidR="00087E7F">
        <w:rPr>
          <w:rFonts w:eastAsia="宋体..閰繷." w:cs="Times New Roman" w:hint="eastAsia"/>
          <w:szCs w:val="18"/>
        </w:rPr>
        <w:t>预计</w:t>
      </w:r>
      <w:r w:rsidR="004F643E" w:rsidRPr="004F643E">
        <w:rPr>
          <w:rFonts w:eastAsia="宋体..閰繷." w:cs="Times New Roman" w:hint="eastAsia"/>
          <w:szCs w:val="18"/>
        </w:rPr>
        <w:t>网络</w:t>
      </w:r>
      <w:r w:rsidR="004F643E" w:rsidRPr="004F643E">
        <w:rPr>
          <w:rFonts w:eastAsia="宋体..閰繷." w:cs="Times New Roman" w:hint="eastAsia"/>
          <w:szCs w:val="18"/>
        </w:rPr>
        <w:t>,</w:t>
      </w:r>
      <w:r w:rsidR="004F643E" w:rsidRPr="004F643E">
        <w:rPr>
          <w:rFonts w:eastAsia="宋体..閰繷." w:cs="Times New Roman" w:hint="eastAsia"/>
          <w:szCs w:val="18"/>
        </w:rPr>
        <w:t>营运及支撑成本</w:t>
      </w:r>
      <w:r w:rsidRPr="007375B2">
        <w:rPr>
          <w:rFonts w:eastAsia="宋体..閰繷." w:cs="Times New Roman" w:hint="eastAsia"/>
          <w:szCs w:val="18"/>
        </w:rPr>
        <w:t>率将</w:t>
      </w:r>
      <w:r w:rsidR="009C41A3">
        <w:rPr>
          <w:rFonts w:eastAsia="宋体..閰繷." w:cs="Times New Roman" w:hint="eastAsia"/>
          <w:szCs w:val="18"/>
        </w:rPr>
        <w:t>有所</w:t>
      </w:r>
      <w:r w:rsidR="0061564C">
        <w:rPr>
          <w:rFonts w:eastAsia="宋体..閰繷." w:cs="Times New Roman" w:hint="eastAsia"/>
          <w:szCs w:val="18"/>
        </w:rPr>
        <w:t>上升</w:t>
      </w:r>
      <w:r w:rsidR="0030134B">
        <w:rPr>
          <w:rFonts w:eastAsia="宋体..閰繷." w:cs="Times New Roman" w:hint="eastAsia"/>
          <w:szCs w:val="18"/>
        </w:rPr>
        <w:t>；</w:t>
      </w:r>
      <w:r w:rsidR="00A44144">
        <w:rPr>
          <w:rFonts w:eastAsia="宋体..閰繷." w:cs="Times New Roman" w:hint="eastAsia"/>
          <w:szCs w:val="18"/>
        </w:rPr>
        <w:t>预计</w:t>
      </w:r>
      <w:r w:rsidR="009C41A3">
        <w:rPr>
          <w:rFonts w:eastAsia="宋体..閰繷." w:cs="Times New Roman" w:hint="eastAsia"/>
          <w:szCs w:val="18"/>
        </w:rPr>
        <w:t>职工薪酬成本率保持稳定</w:t>
      </w:r>
      <w:r w:rsidR="00A44144">
        <w:rPr>
          <w:rFonts w:eastAsia="宋体..閰繷." w:cs="Times New Roman" w:hint="eastAsia"/>
          <w:szCs w:val="18"/>
        </w:rPr>
        <w:t>，销售费用率有所下降</w:t>
      </w:r>
      <w:r w:rsidR="0030134B">
        <w:rPr>
          <w:rFonts w:eastAsia="宋体..閰繷." w:cs="Times New Roman" w:hint="eastAsia"/>
          <w:szCs w:val="18"/>
        </w:rPr>
        <w:t>。公司</w:t>
      </w:r>
      <w:r w:rsidR="00234C93">
        <w:rPr>
          <w:rFonts w:eastAsia="宋体..閰繷." w:cs="Times New Roman" w:hint="eastAsia"/>
          <w:szCs w:val="18"/>
        </w:rPr>
        <w:t>总</w:t>
      </w:r>
      <w:r w:rsidR="00087E7F">
        <w:rPr>
          <w:rFonts w:eastAsia="宋体..閰繷." w:cs="Times New Roman" w:hint="eastAsia"/>
          <w:szCs w:val="18"/>
        </w:rPr>
        <w:t>的</w:t>
      </w:r>
      <w:r w:rsidR="00234C93">
        <w:rPr>
          <w:rFonts w:eastAsia="宋体..閰繷." w:cs="Times New Roman" w:hint="eastAsia"/>
          <w:szCs w:val="18"/>
        </w:rPr>
        <w:t>经营成本率下降，从而</w:t>
      </w:r>
      <w:r w:rsidRPr="007375B2">
        <w:rPr>
          <w:rFonts w:eastAsia="宋体..閰繷." w:cs="Times New Roman" w:hint="eastAsia"/>
          <w:szCs w:val="18"/>
        </w:rPr>
        <w:t>驱动公司</w:t>
      </w:r>
      <w:r w:rsidR="008444CA">
        <w:rPr>
          <w:rFonts w:eastAsia="宋体..閰繷." w:cs="Times New Roman" w:hint="eastAsia"/>
          <w:szCs w:val="18"/>
        </w:rPr>
        <w:t>营业</w:t>
      </w:r>
      <w:r w:rsidRPr="007375B2">
        <w:rPr>
          <w:rFonts w:eastAsia="宋体..閰繷." w:cs="Times New Roman" w:hint="eastAsia"/>
          <w:szCs w:val="18"/>
        </w:rPr>
        <w:t>利润率稳中有升。</w:t>
      </w:r>
    </w:p>
    <w:p w14:paraId="41674B55" w14:textId="34E9E792" w:rsidR="007375B2" w:rsidRPr="00D4203B" w:rsidRDefault="007375B2" w:rsidP="004A5072">
      <w:pPr>
        <w:pStyle w:val="a3"/>
        <w:spacing w:line="276" w:lineRule="auto"/>
        <w:ind w:leftChars="-54" w:left="-97"/>
        <w:rPr>
          <w:rFonts w:asciiTheme="majorEastAsia" w:eastAsiaTheme="majorEastAsia" w:hAnsiTheme="majorEastAsia"/>
          <w:color w:val="auto"/>
          <w:sz w:val="18"/>
          <w:szCs w:val="18"/>
          <w:lang w:eastAsia="zh-CN"/>
        </w:rPr>
      </w:pPr>
      <w:bookmarkStart w:id="15" w:name="_Toc127975037"/>
      <w:r w:rsidRPr="00D4203B">
        <w:rPr>
          <w:rFonts w:asciiTheme="majorEastAsia" w:eastAsiaTheme="majorEastAsia" w:hAnsiTheme="majorEastAsia" w:hint="eastAsia"/>
          <w:color w:val="auto"/>
          <w:sz w:val="18"/>
          <w:szCs w:val="18"/>
          <w:lang w:eastAsia="zh-CN"/>
        </w:rPr>
        <w:t xml:space="preserve">图表 </w:t>
      </w:r>
      <w:r w:rsidRPr="00D4203B">
        <w:rPr>
          <w:rFonts w:asciiTheme="majorEastAsia" w:eastAsiaTheme="majorEastAsia" w:hAnsiTheme="majorEastAsia"/>
          <w:color w:val="auto"/>
          <w:sz w:val="18"/>
          <w:szCs w:val="18"/>
          <w:lang w:eastAsia="zh-CN"/>
        </w:rPr>
        <w:fldChar w:fldCharType="begin"/>
      </w:r>
      <w:r w:rsidRPr="00D4203B">
        <w:rPr>
          <w:rFonts w:asciiTheme="majorEastAsia" w:eastAsiaTheme="majorEastAsia" w:hAnsiTheme="majorEastAsia"/>
          <w:color w:val="auto"/>
          <w:sz w:val="18"/>
          <w:szCs w:val="18"/>
          <w:lang w:eastAsia="zh-CN"/>
        </w:rPr>
        <w:instrText xml:space="preserve"> </w:instrText>
      </w:r>
      <w:r w:rsidRPr="00D4203B">
        <w:rPr>
          <w:rFonts w:asciiTheme="majorEastAsia" w:eastAsiaTheme="majorEastAsia" w:hAnsiTheme="majorEastAsia" w:hint="eastAsia"/>
          <w:color w:val="auto"/>
          <w:sz w:val="18"/>
          <w:szCs w:val="18"/>
          <w:lang w:eastAsia="zh-CN"/>
        </w:rPr>
        <w:instrText>SEQ 图表 \* ARABIC</w:instrText>
      </w:r>
      <w:r w:rsidRPr="00D4203B">
        <w:rPr>
          <w:rFonts w:asciiTheme="majorEastAsia" w:eastAsiaTheme="majorEastAsia" w:hAnsiTheme="majorEastAsia"/>
          <w:color w:val="auto"/>
          <w:sz w:val="18"/>
          <w:szCs w:val="18"/>
          <w:lang w:eastAsia="zh-CN"/>
        </w:rPr>
        <w:instrText xml:space="preserve"> </w:instrText>
      </w:r>
      <w:r w:rsidRPr="00D4203B">
        <w:rPr>
          <w:rFonts w:asciiTheme="majorEastAsia" w:eastAsiaTheme="majorEastAsia" w:hAnsiTheme="majorEastAsia"/>
          <w:color w:val="auto"/>
          <w:sz w:val="18"/>
          <w:szCs w:val="18"/>
          <w:lang w:eastAsia="zh-CN"/>
        </w:rPr>
        <w:fldChar w:fldCharType="separate"/>
      </w:r>
      <w:r w:rsidR="00F87CC7" w:rsidRPr="00D4203B">
        <w:rPr>
          <w:rFonts w:asciiTheme="majorEastAsia" w:eastAsiaTheme="majorEastAsia" w:hAnsiTheme="majorEastAsia"/>
          <w:color w:val="auto"/>
          <w:sz w:val="18"/>
          <w:szCs w:val="18"/>
          <w:lang w:eastAsia="zh-CN"/>
        </w:rPr>
        <w:t>8</w:t>
      </w:r>
      <w:r w:rsidRPr="00D4203B">
        <w:rPr>
          <w:rFonts w:asciiTheme="majorEastAsia" w:eastAsiaTheme="majorEastAsia" w:hAnsiTheme="majorEastAsia"/>
          <w:color w:val="auto"/>
          <w:sz w:val="18"/>
          <w:szCs w:val="18"/>
          <w:lang w:eastAsia="zh-CN"/>
        </w:rPr>
        <w:fldChar w:fldCharType="end"/>
      </w:r>
      <w:r w:rsidRPr="00D4203B">
        <w:rPr>
          <w:rFonts w:asciiTheme="majorEastAsia" w:eastAsiaTheme="majorEastAsia" w:hAnsiTheme="majorEastAsia" w:hint="eastAsia"/>
          <w:color w:val="auto"/>
          <w:sz w:val="18"/>
          <w:szCs w:val="18"/>
          <w:lang w:eastAsia="zh-CN"/>
        </w:rPr>
        <w:t>：</w:t>
      </w:r>
      <w:r w:rsidR="00A01696" w:rsidRPr="00D4203B">
        <w:rPr>
          <w:rFonts w:asciiTheme="majorEastAsia" w:eastAsiaTheme="majorEastAsia" w:hAnsiTheme="majorEastAsia" w:hint="eastAsia"/>
          <w:color w:val="auto"/>
          <w:sz w:val="18"/>
          <w:szCs w:val="18"/>
          <w:lang w:eastAsia="zh-CN"/>
        </w:rPr>
        <w:t>中国移动</w:t>
      </w:r>
      <w:r w:rsidRPr="00D4203B">
        <w:rPr>
          <w:rFonts w:asciiTheme="majorEastAsia" w:eastAsiaTheme="majorEastAsia" w:hAnsiTheme="majorEastAsia" w:hint="eastAsia"/>
          <w:color w:val="auto"/>
          <w:sz w:val="18"/>
          <w:szCs w:val="18"/>
          <w:lang w:eastAsia="zh-CN"/>
        </w:rPr>
        <w:t>主要财务比率预测</w:t>
      </w:r>
      <w:bookmarkEnd w:id="15"/>
    </w:p>
    <w:tbl>
      <w:tblPr>
        <w:tblW w:w="7663" w:type="dxa"/>
        <w:tblLook w:val="04A0" w:firstRow="1" w:lastRow="0" w:firstColumn="1" w:lastColumn="0" w:noHBand="0" w:noVBand="1"/>
      </w:tblPr>
      <w:tblGrid>
        <w:gridCol w:w="1560"/>
        <w:gridCol w:w="1087"/>
        <w:gridCol w:w="1254"/>
        <w:gridCol w:w="1254"/>
        <w:gridCol w:w="1254"/>
        <w:gridCol w:w="1254"/>
      </w:tblGrid>
      <w:tr w:rsidR="0033057B" w:rsidRPr="007375B2" w14:paraId="41DC1F56" w14:textId="77777777" w:rsidTr="006269F1">
        <w:trPr>
          <w:trHeight w:val="407"/>
        </w:trPr>
        <w:tc>
          <w:tcPr>
            <w:tcW w:w="1560" w:type="dxa"/>
            <w:tcBorders>
              <w:top w:val="single" w:sz="4" w:space="0" w:color="auto"/>
              <w:left w:val="nil"/>
              <w:right w:val="nil"/>
            </w:tcBorders>
            <w:shd w:val="clear" w:color="auto" w:fill="auto"/>
            <w:noWrap/>
            <w:vAlign w:val="center"/>
            <w:hideMark/>
          </w:tcPr>
          <w:p w14:paraId="32C1D1E6" w14:textId="77777777" w:rsidR="0033057B" w:rsidRPr="0033057B" w:rsidRDefault="0033057B" w:rsidP="0033057B">
            <w:pPr>
              <w:spacing w:beforeLines="50" w:before="120" w:afterLines="50" w:after="120" w:line="276" w:lineRule="auto"/>
              <w:jc w:val="both"/>
              <w:rPr>
                <w:rFonts w:eastAsia="宋体..閰繷." w:cs="Times New Roman"/>
                <w:b/>
                <w:szCs w:val="18"/>
              </w:rPr>
            </w:pPr>
            <w:r w:rsidRPr="0033057B">
              <w:rPr>
                <w:rFonts w:eastAsia="宋体..閰繷." w:cs="Times New Roman" w:hint="eastAsia"/>
                <w:b/>
                <w:szCs w:val="18"/>
              </w:rPr>
              <w:t xml:space="preserve">　</w:t>
            </w:r>
          </w:p>
        </w:tc>
        <w:tc>
          <w:tcPr>
            <w:tcW w:w="1087" w:type="dxa"/>
            <w:tcBorders>
              <w:top w:val="single" w:sz="4" w:space="0" w:color="auto"/>
              <w:left w:val="nil"/>
              <w:bottom w:val="single" w:sz="4" w:space="0" w:color="auto"/>
              <w:right w:val="nil"/>
            </w:tcBorders>
            <w:shd w:val="clear" w:color="auto" w:fill="auto"/>
            <w:noWrap/>
            <w:vAlign w:val="center"/>
            <w:hideMark/>
          </w:tcPr>
          <w:p w14:paraId="509E2C1C" w14:textId="33C744AA" w:rsidR="0033057B" w:rsidRPr="0033057B" w:rsidRDefault="0033057B" w:rsidP="008C2043">
            <w:pPr>
              <w:spacing w:beforeLines="50" w:before="120" w:afterLines="50" w:after="120" w:line="276" w:lineRule="auto"/>
              <w:jc w:val="center"/>
              <w:rPr>
                <w:rFonts w:eastAsia="宋体..閰繷." w:cs="Times New Roman"/>
                <w:b/>
                <w:bCs/>
                <w:szCs w:val="18"/>
              </w:rPr>
            </w:pPr>
            <w:r w:rsidRPr="0033057B">
              <w:rPr>
                <w:b/>
              </w:rPr>
              <w:t>2021</w:t>
            </w:r>
          </w:p>
        </w:tc>
        <w:tc>
          <w:tcPr>
            <w:tcW w:w="1254" w:type="dxa"/>
            <w:tcBorders>
              <w:top w:val="single" w:sz="4" w:space="0" w:color="auto"/>
              <w:left w:val="nil"/>
              <w:bottom w:val="single" w:sz="4" w:space="0" w:color="auto"/>
              <w:right w:val="nil"/>
            </w:tcBorders>
            <w:shd w:val="clear" w:color="auto" w:fill="auto"/>
            <w:noWrap/>
            <w:vAlign w:val="center"/>
            <w:hideMark/>
          </w:tcPr>
          <w:p w14:paraId="5F0F19EB" w14:textId="2707C168" w:rsidR="0033057B" w:rsidRPr="0033057B" w:rsidRDefault="0033057B" w:rsidP="008C2043">
            <w:pPr>
              <w:spacing w:beforeLines="50" w:before="120" w:afterLines="50" w:after="120" w:line="276" w:lineRule="auto"/>
              <w:jc w:val="center"/>
              <w:rPr>
                <w:rFonts w:eastAsia="宋体..閰繷." w:cs="Times New Roman"/>
                <w:b/>
                <w:bCs/>
                <w:szCs w:val="18"/>
              </w:rPr>
            </w:pPr>
            <w:r w:rsidRPr="0033057B">
              <w:rPr>
                <w:b/>
              </w:rPr>
              <w:t>2022</w:t>
            </w:r>
          </w:p>
        </w:tc>
        <w:tc>
          <w:tcPr>
            <w:tcW w:w="1254" w:type="dxa"/>
            <w:tcBorders>
              <w:top w:val="single" w:sz="4" w:space="0" w:color="auto"/>
              <w:left w:val="nil"/>
              <w:bottom w:val="single" w:sz="4" w:space="0" w:color="auto"/>
              <w:right w:val="nil"/>
            </w:tcBorders>
            <w:shd w:val="clear" w:color="auto" w:fill="auto"/>
            <w:noWrap/>
            <w:vAlign w:val="center"/>
            <w:hideMark/>
          </w:tcPr>
          <w:p w14:paraId="61622DDA" w14:textId="0608B52B" w:rsidR="0033057B" w:rsidRPr="0033057B" w:rsidRDefault="0033057B" w:rsidP="008C2043">
            <w:pPr>
              <w:spacing w:beforeLines="50" w:before="120" w:afterLines="50" w:after="120" w:line="276" w:lineRule="auto"/>
              <w:jc w:val="center"/>
              <w:rPr>
                <w:rFonts w:eastAsia="宋体..閰繷." w:cs="Times New Roman"/>
                <w:b/>
                <w:bCs/>
                <w:szCs w:val="18"/>
              </w:rPr>
            </w:pPr>
            <w:r w:rsidRPr="0033057B">
              <w:rPr>
                <w:b/>
              </w:rPr>
              <w:t>2023</w:t>
            </w:r>
          </w:p>
        </w:tc>
        <w:tc>
          <w:tcPr>
            <w:tcW w:w="1254" w:type="dxa"/>
            <w:tcBorders>
              <w:top w:val="single" w:sz="4" w:space="0" w:color="auto"/>
              <w:left w:val="nil"/>
              <w:bottom w:val="single" w:sz="4" w:space="0" w:color="auto"/>
              <w:right w:val="nil"/>
            </w:tcBorders>
            <w:shd w:val="clear" w:color="auto" w:fill="auto"/>
            <w:noWrap/>
            <w:vAlign w:val="center"/>
            <w:hideMark/>
          </w:tcPr>
          <w:p w14:paraId="0E85EA1A" w14:textId="7DC0A156" w:rsidR="0033057B" w:rsidRPr="0033057B" w:rsidRDefault="0033057B" w:rsidP="008C2043">
            <w:pPr>
              <w:spacing w:beforeLines="50" w:before="120" w:afterLines="50" w:after="120" w:line="276" w:lineRule="auto"/>
              <w:jc w:val="center"/>
              <w:rPr>
                <w:rFonts w:eastAsia="宋体..閰繷." w:cs="Times New Roman"/>
                <w:b/>
                <w:bCs/>
                <w:szCs w:val="18"/>
              </w:rPr>
            </w:pPr>
            <w:r w:rsidRPr="0033057B">
              <w:rPr>
                <w:b/>
              </w:rPr>
              <w:t>2024E</w:t>
            </w:r>
          </w:p>
        </w:tc>
        <w:tc>
          <w:tcPr>
            <w:tcW w:w="1254" w:type="dxa"/>
            <w:tcBorders>
              <w:top w:val="single" w:sz="4" w:space="0" w:color="auto"/>
              <w:left w:val="nil"/>
              <w:bottom w:val="single" w:sz="4" w:space="0" w:color="auto"/>
              <w:right w:val="nil"/>
            </w:tcBorders>
            <w:shd w:val="clear" w:color="auto" w:fill="auto"/>
            <w:noWrap/>
            <w:vAlign w:val="center"/>
            <w:hideMark/>
          </w:tcPr>
          <w:p w14:paraId="42729C1F" w14:textId="5E1BFE1B" w:rsidR="0033057B" w:rsidRPr="0033057B" w:rsidRDefault="0033057B" w:rsidP="008C2043">
            <w:pPr>
              <w:spacing w:beforeLines="50" w:before="120" w:afterLines="50" w:after="120" w:line="276" w:lineRule="auto"/>
              <w:jc w:val="center"/>
              <w:rPr>
                <w:rFonts w:eastAsia="宋体..閰繷." w:cs="Times New Roman"/>
                <w:b/>
                <w:bCs/>
                <w:szCs w:val="18"/>
              </w:rPr>
            </w:pPr>
            <w:r w:rsidRPr="0033057B">
              <w:rPr>
                <w:b/>
              </w:rPr>
              <w:t>2025E</w:t>
            </w:r>
          </w:p>
        </w:tc>
      </w:tr>
      <w:tr w:rsidR="00CE5D72" w:rsidRPr="007375B2" w14:paraId="7E4E3D09" w14:textId="77777777" w:rsidTr="006269F1">
        <w:trPr>
          <w:trHeight w:val="407"/>
        </w:trPr>
        <w:tc>
          <w:tcPr>
            <w:tcW w:w="1560" w:type="dxa"/>
            <w:tcBorders>
              <w:left w:val="nil"/>
              <w:bottom w:val="nil"/>
              <w:right w:val="nil"/>
            </w:tcBorders>
            <w:shd w:val="clear" w:color="auto" w:fill="auto"/>
            <w:noWrap/>
            <w:vAlign w:val="center"/>
            <w:hideMark/>
          </w:tcPr>
          <w:p w14:paraId="4EF0E184" w14:textId="69CA33B6" w:rsidR="00CE5D72" w:rsidRPr="007375B2" w:rsidRDefault="00CE5D72" w:rsidP="00CE5D72">
            <w:pPr>
              <w:spacing w:beforeLines="50" w:before="120" w:afterLines="50" w:after="120" w:line="276" w:lineRule="auto"/>
              <w:jc w:val="both"/>
              <w:rPr>
                <w:rFonts w:eastAsia="宋体..閰繷." w:cs="Times New Roman"/>
                <w:b/>
                <w:szCs w:val="18"/>
              </w:rPr>
            </w:pPr>
            <w:r w:rsidRPr="008444CA">
              <w:rPr>
                <w:rFonts w:eastAsia="宋体..閰繷." w:cs="Times New Roman" w:hint="eastAsia"/>
                <w:b/>
                <w:szCs w:val="18"/>
              </w:rPr>
              <w:t>折旧摊销</w:t>
            </w:r>
            <w:r w:rsidRPr="007375B2">
              <w:rPr>
                <w:rFonts w:eastAsia="宋体..閰繷." w:cs="Times New Roman" w:hint="eastAsia"/>
                <w:b/>
                <w:szCs w:val="18"/>
              </w:rPr>
              <w:t>费用率</w:t>
            </w:r>
          </w:p>
        </w:tc>
        <w:tc>
          <w:tcPr>
            <w:tcW w:w="1087" w:type="dxa"/>
            <w:tcBorders>
              <w:top w:val="nil"/>
              <w:left w:val="nil"/>
              <w:bottom w:val="nil"/>
              <w:right w:val="nil"/>
            </w:tcBorders>
            <w:shd w:val="clear" w:color="auto" w:fill="auto"/>
            <w:noWrap/>
            <w:vAlign w:val="center"/>
            <w:hideMark/>
          </w:tcPr>
          <w:p w14:paraId="0A0869BC" w14:textId="64994B1E" w:rsidR="00CE5D72" w:rsidRPr="007375B2" w:rsidRDefault="00CE5D72" w:rsidP="00CE5D72">
            <w:pPr>
              <w:spacing w:beforeLines="50" w:before="120" w:afterLines="50" w:after="120" w:line="276" w:lineRule="auto"/>
              <w:jc w:val="center"/>
              <w:rPr>
                <w:rFonts w:eastAsia="宋体..閰繷." w:cs="Times New Roman"/>
                <w:szCs w:val="18"/>
              </w:rPr>
            </w:pPr>
            <w:r w:rsidRPr="005877FB">
              <w:t>22.76%</w:t>
            </w:r>
          </w:p>
        </w:tc>
        <w:tc>
          <w:tcPr>
            <w:tcW w:w="1254" w:type="dxa"/>
            <w:tcBorders>
              <w:top w:val="nil"/>
              <w:left w:val="nil"/>
              <w:bottom w:val="nil"/>
              <w:right w:val="nil"/>
            </w:tcBorders>
            <w:shd w:val="clear" w:color="auto" w:fill="auto"/>
            <w:noWrap/>
            <w:vAlign w:val="center"/>
            <w:hideMark/>
          </w:tcPr>
          <w:p w14:paraId="7FCD1088" w14:textId="235D727C" w:rsidR="00CE5D72" w:rsidRPr="007375B2" w:rsidRDefault="00CE5D72" w:rsidP="00CE5D72">
            <w:pPr>
              <w:spacing w:beforeLines="50" w:before="120" w:afterLines="50" w:after="120" w:line="276" w:lineRule="auto"/>
              <w:jc w:val="center"/>
              <w:rPr>
                <w:rFonts w:eastAsia="宋体..閰繷." w:cs="Times New Roman"/>
                <w:szCs w:val="18"/>
              </w:rPr>
            </w:pPr>
            <w:r w:rsidRPr="005877FB">
              <w:t>21.35%</w:t>
            </w:r>
          </w:p>
        </w:tc>
        <w:tc>
          <w:tcPr>
            <w:tcW w:w="1254" w:type="dxa"/>
            <w:tcBorders>
              <w:top w:val="nil"/>
              <w:left w:val="nil"/>
              <w:bottom w:val="nil"/>
              <w:right w:val="nil"/>
            </w:tcBorders>
            <w:shd w:val="clear" w:color="auto" w:fill="auto"/>
            <w:noWrap/>
            <w:vAlign w:val="center"/>
            <w:hideMark/>
          </w:tcPr>
          <w:p w14:paraId="79003D4B" w14:textId="6D1209AE" w:rsidR="00CE5D72" w:rsidRPr="007375B2" w:rsidRDefault="00CE5D72" w:rsidP="00CE5D72">
            <w:pPr>
              <w:spacing w:beforeLines="50" w:before="120" w:afterLines="50" w:after="120" w:line="276" w:lineRule="auto"/>
              <w:jc w:val="center"/>
              <w:rPr>
                <w:rFonts w:eastAsia="宋体..閰繷." w:cs="Times New Roman"/>
                <w:szCs w:val="18"/>
              </w:rPr>
            </w:pPr>
            <w:r w:rsidRPr="005877FB">
              <w:t>20.43%</w:t>
            </w:r>
          </w:p>
        </w:tc>
        <w:tc>
          <w:tcPr>
            <w:tcW w:w="1254" w:type="dxa"/>
            <w:tcBorders>
              <w:top w:val="nil"/>
              <w:left w:val="nil"/>
              <w:bottom w:val="nil"/>
              <w:right w:val="nil"/>
            </w:tcBorders>
            <w:shd w:val="clear" w:color="auto" w:fill="auto"/>
            <w:noWrap/>
            <w:vAlign w:val="center"/>
            <w:hideMark/>
          </w:tcPr>
          <w:p w14:paraId="193C6B3F" w14:textId="6F2E14D8" w:rsidR="00CE5D72" w:rsidRPr="007375B2" w:rsidRDefault="00CE5D72" w:rsidP="00CE5D72">
            <w:pPr>
              <w:spacing w:beforeLines="50" w:before="120" w:afterLines="50" w:after="120" w:line="276" w:lineRule="auto"/>
              <w:jc w:val="center"/>
              <w:rPr>
                <w:rFonts w:eastAsia="宋体..閰繷." w:cs="Times New Roman"/>
                <w:szCs w:val="18"/>
              </w:rPr>
            </w:pPr>
            <w:r w:rsidRPr="005877FB">
              <w:t>19.50%</w:t>
            </w:r>
          </w:p>
        </w:tc>
        <w:tc>
          <w:tcPr>
            <w:tcW w:w="1254" w:type="dxa"/>
            <w:tcBorders>
              <w:top w:val="nil"/>
              <w:left w:val="nil"/>
              <w:bottom w:val="nil"/>
              <w:right w:val="nil"/>
            </w:tcBorders>
            <w:shd w:val="clear" w:color="auto" w:fill="auto"/>
            <w:noWrap/>
            <w:vAlign w:val="center"/>
            <w:hideMark/>
          </w:tcPr>
          <w:p w14:paraId="3DEB133F" w14:textId="6DD8C83C" w:rsidR="00CE5D72" w:rsidRPr="007375B2" w:rsidRDefault="00CE5D72" w:rsidP="00CE5D72">
            <w:pPr>
              <w:spacing w:beforeLines="50" w:before="120" w:afterLines="50" w:after="120" w:line="276" w:lineRule="auto"/>
              <w:jc w:val="center"/>
              <w:rPr>
                <w:rFonts w:eastAsia="宋体..閰繷." w:cs="Times New Roman"/>
                <w:szCs w:val="18"/>
              </w:rPr>
            </w:pPr>
            <w:r w:rsidRPr="005877FB">
              <w:t>18.50%</w:t>
            </w:r>
          </w:p>
        </w:tc>
      </w:tr>
      <w:tr w:rsidR="00CE5D72" w:rsidRPr="007375B2" w14:paraId="3E007541" w14:textId="77777777" w:rsidTr="0025725F">
        <w:trPr>
          <w:trHeight w:val="407"/>
        </w:trPr>
        <w:tc>
          <w:tcPr>
            <w:tcW w:w="1560" w:type="dxa"/>
            <w:tcBorders>
              <w:top w:val="nil"/>
              <w:left w:val="nil"/>
              <w:bottom w:val="nil"/>
              <w:right w:val="nil"/>
            </w:tcBorders>
            <w:shd w:val="clear" w:color="auto" w:fill="auto"/>
            <w:noWrap/>
            <w:vAlign w:val="center"/>
            <w:hideMark/>
          </w:tcPr>
          <w:p w14:paraId="1A888AB7" w14:textId="019493CA" w:rsidR="00CE5D72" w:rsidRPr="007375B2" w:rsidRDefault="00CE5D72" w:rsidP="00CE5D72">
            <w:pPr>
              <w:spacing w:beforeLines="50" w:before="120" w:afterLines="50" w:after="120" w:line="276" w:lineRule="auto"/>
              <w:jc w:val="both"/>
              <w:rPr>
                <w:rFonts w:eastAsia="宋体..閰繷." w:cs="Times New Roman"/>
                <w:b/>
                <w:szCs w:val="18"/>
              </w:rPr>
            </w:pPr>
            <w:r w:rsidRPr="008444CA">
              <w:rPr>
                <w:rFonts w:eastAsia="宋体..閰繷." w:cs="Times New Roman" w:hint="eastAsia"/>
                <w:b/>
                <w:szCs w:val="18"/>
              </w:rPr>
              <w:t>网络</w:t>
            </w:r>
            <w:r w:rsidRPr="008444CA">
              <w:rPr>
                <w:rFonts w:eastAsia="宋体..閰繷." w:cs="Times New Roman" w:hint="eastAsia"/>
                <w:b/>
                <w:szCs w:val="18"/>
              </w:rPr>
              <w:t>,</w:t>
            </w:r>
            <w:r w:rsidRPr="008444CA">
              <w:rPr>
                <w:rFonts w:eastAsia="宋体..閰繷." w:cs="Times New Roman" w:hint="eastAsia"/>
                <w:b/>
                <w:szCs w:val="18"/>
              </w:rPr>
              <w:t>营运及支撑</w:t>
            </w:r>
            <w:r>
              <w:rPr>
                <w:rFonts w:eastAsia="宋体..閰繷." w:cs="Times New Roman" w:hint="eastAsia"/>
                <w:b/>
                <w:szCs w:val="18"/>
              </w:rPr>
              <w:t>成本</w:t>
            </w:r>
            <w:r w:rsidRPr="007375B2">
              <w:rPr>
                <w:rFonts w:eastAsia="宋体..閰繷." w:cs="Times New Roman" w:hint="eastAsia"/>
                <w:b/>
                <w:szCs w:val="18"/>
              </w:rPr>
              <w:t>率</w:t>
            </w:r>
          </w:p>
        </w:tc>
        <w:tc>
          <w:tcPr>
            <w:tcW w:w="1087" w:type="dxa"/>
            <w:tcBorders>
              <w:top w:val="nil"/>
              <w:left w:val="nil"/>
              <w:bottom w:val="nil"/>
              <w:right w:val="nil"/>
            </w:tcBorders>
            <w:shd w:val="clear" w:color="auto" w:fill="auto"/>
            <w:noWrap/>
            <w:vAlign w:val="center"/>
            <w:hideMark/>
          </w:tcPr>
          <w:p w14:paraId="033E5F7B" w14:textId="29F54F93" w:rsidR="00CE5D72" w:rsidRPr="007375B2" w:rsidRDefault="00CE5D72" w:rsidP="00CE5D72">
            <w:pPr>
              <w:spacing w:beforeLines="50" w:before="120" w:afterLines="50" w:after="120" w:line="276" w:lineRule="auto"/>
              <w:jc w:val="center"/>
              <w:rPr>
                <w:rFonts w:eastAsia="宋体..閰繷." w:cs="Times New Roman"/>
                <w:szCs w:val="18"/>
              </w:rPr>
            </w:pPr>
            <w:r w:rsidRPr="0026200D">
              <w:t>26.53%</w:t>
            </w:r>
          </w:p>
        </w:tc>
        <w:tc>
          <w:tcPr>
            <w:tcW w:w="1254" w:type="dxa"/>
            <w:tcBorders>
              <w:top w:val="nil"/>
              <w:left w:val="nil"/>
              <w:bottom w:val="nil"/>
              <w:right w:val="nil"/>
            </w:tcBorders>
            <w:shd w:val="clear" w:color="auto" w:fill="auto"/>
            <w:noWrap/>
            <w:vAlign w:val="center"/>
            <w:hideMark/>
          </w:tcPr>
          <w:p w14:paraId="0AE1B2BA" w14:textId="1D6CF5DE" w:rsidR="00CE5D72" w:rsidRPr="007375B2" w:rsidRDefault="00CE5D72" w:rsidP="00CE5D72">
            <w:pPr>
              <w:spacing w:beforeLines="50" w:before="120" w:afterLines="50" w:after="120" w:line="276" w:lineRule="auto"/>
              <w:jc w:val="center"/>
              <w:rPr>
                <w:rFonts w:eastAsia="宋体..閰繷." w:cs="Times New Roman"/>
                <w:szCs w:val="18"/>
              </w:rPr>
            </w:pPr>
            <w:r w:rsidRPr="0026200D">
              <w:t>27.12%</w:t>
            </w:r>
          </w:p>
        </w:tc>
        <w:tc>
          <w:tcPr>
            <w:tcW w:w="1254" w:type="dxa"/>
            <w:tcBorders>
              <w:top w:val="nil"/>
              <w:left w:val="nil"/>
              <w:bottom w:val="nil"/>
              <w:right w:val="nil"/>
            </w:tcBorders>
            <w:shd w:val="clear" w:color="auto" w:fill="auto"/>
            <w:noWrap/>
            <w:vAlign w:val="center"/>
            <w:hideMark/>
          </w:tcPr>
          <w:p w14:paraId="0F92302A" w14:textId="27468CAA" w:rsidR="00CE5D72" w:rsidRPr="007375B2" w:rsidRDefault="00CE5D72" w:rsidP="00CE5D72">
            <w:pPr>
              <w:spacing w:beforeLines="50" w:before="120" w:afterLines="50" w:after="120" w:line="276" w:lineRule="auto"/>
              <w:jc w:val="center"/>
              <w:rPr>
                <w:rFonts w:eastAsia="宋体..閰繷." w:cs="Times New Roman"/>
                <w:szCs w:val="18"/>
              </w:rPr>
            </w:pPr>
            <w:r w:rsidRPr="0026200D">
              <w:t>28.08%</w:t>
            </w:r>
          </w:p>
        </w:tc>
        <w:tc>
          <w:tcPr>
            <w:tcW w:w="1254" w:type="dxa"/>
            <w:tcBorders>
              <w:top w:val="nil"/>
              <w:left w:val="nil"/>
              <w:bottom w:val="nil"/>
              <w:right w:val="nil"/>
            </w:tcBorders>
            <w:shd w:val="clear" w:color="auto" w:fill="auto"/>
            <w:noWrap/>
            <w:vAlign w:val="center"/>
            <w:hideMark/>
          </w:tcPr>
          <w:p w14:paraId="764E7444" w14:textId="0695241B" w:rsidR="00CE5D72" w:rsidRPr="007375B2" w:rsidRDefault="00CE5D72" w:rsidP="00CE5D72">
            <w:pPr>
              <w:spacing w:beforeLines="50" w:before="120" w:afterLines="50" w:after="120" w:line="276" w:lineRule="auto"/>
              <w:jc w:val="center"/>
              <w:rPr>
                <w:rFonts w:eastAsia="宋体..閰繷." w:cs="Times New Roman"/>
                <w:szCs w:val="18"/>
              </w:rPr>
            </w:pPr>
            <w:r w:rsidRPr="0026200D">
              <w:t>28.77%</w:t>
            </w:r>
          </w:p>
        </w:tc>
        <w:tc>
          <w:tcPr>
            <w:tcW w:w="1254" w:type="dxa"/>
            <w:tcBorders>
              <w:top w:val="nil"/>
              <w:left w:val="nil"/>
              <w:bottom w:val="nil"/>
              <w:right w:val="nil"/>
            </w:tcBorders>
            <w:shd w:val="clear" w:color="auto" w:fill="auto"/>
            <w:noWrap/>
            <w:vAlign w:val="center"/>
            <w:hideMark/>
          </w:tcPr>
          <w:p w14:paraId="3ACF4E6D" w14:textId="0E20759C" w:rsidR="00CE5D72" w:rsidRPr="007375B2" w:rsidRDefault="00CE5D72" w:rsidP="00CE5D72">
            <w:pPr>
              <w:spacing w:beforeLines="50" w:before="120" w:afterLines="50" w:after="120" w:line="276" w:lineRule="auto"/>
              <w:jc w:val="center"/>
              <w:rPr>
                <w:rFonts w:eastAsia="宋体..閰繷." w:cs="Times New Roman"/>
                <w:szCs w:val="18"/>
              </w:rPr>
            </w:pPr>
            <w:r w:rsidRPr="0026200D">
              <w:t>29.28%</w:t>
            </w:r>
          </w:p>
        </w:tc>
      </w:tr>
      <w:tr w:rsidR="00CE5D72" w:rsidRPr="007375B2" w14:paraId="6BEEC833" w14:textId="77777777" w:rsidTr="0025725F">
        <w:trPr>
          <w:trHeight w:val="407"/>
        </w:trPr>
        <w:tc>
          <w:tcPr>
            <w:tcW w:w="1560" w:type="dxa"/>
            <w:tcBorders>
              <w:top w:val="nil"/>
              <w:left w:val="nil"/>
              <w:right w:val="nil"/>
            </w:tcBorders>
            <w:shd w:val="clear" w:color="auto" w:fill="auto"/>
            <w:noWrap/>
            <w:vAlign w:val="center"/>
            <w:hideMark/>
          </w:tcPr>
          <w:p w14:paraId="329F074B" w14:textId="194E8521" w:rsidR="00CE5D72" w:rsidRPr="007375B2" w:rsidRDefault="00CE5D72" w:rsidP="00CE5D72">
            <w:pPr>
              <w:spacing w:beforeLines="50" w:before="120" w:afterLines="50" w:after="120" w:line="276" w:lineRule="auto"/>
              <w:jc w:val="both"/>
              <w:rPr>
                <w:rFonts w:eastAsia="宋体..閰繷." w:cs="Times New Roman"/>
                <w:b/>
                <w:szCs w:val="18"/>
              </w:rPr>
            </w:pPr>
            <w:r w:rsidRPr="008444CA">
              <w:rPr>
                <w:rFonts w:eastAsia="宋体..閰繷." w:cs="Times New Roman" w:hint="eastAsia"/>
                <w:b/>
                <w:szCs w:val="18"/>
              </w:rPr>
              <w:t>职工薪酬成本率</w:t>
            </w:r>
          </w:p>
        </w:tc>
        <w:tc>
          <w:tcPr>
            <w:tcW w:w="1087" w:type="dxa"/>
            <w:tcBorders>
              <w:top w:val="nil"/>
              <w:left w:val="nil"/>
              <w:right w:val="nil"/>
            </w:tcBorders>
            <w:shd w:val="clear" w:color="auto" w:fill="auto"/>
            <w:noWrap/>
            <w:vAlign w:val="center"/>
            <w:hideMark/>
          </w:tcPr>
          <w:p w14:paraId="19E7A96E" w14:textId="101012AC" w:rsidR="00CE5D72" w:rsidRPr="007375B2" w:rsidRDefault="00CE5D72" w:rsidP="00CE5D72">
            <w:pPr>
              <w:spacing w:beforeLines="50" w:before="120" w:afterLines="50" w:after="120" w:line="276" w:lineRule="auto"/>
              <w:jc w:val="center"/>
              <w:rPr>
                <w:rFonts w:eastAsia="宋体..閰繷." w:cs="Times New Roman"/>
                <w:szCs w:val="18"/>
              </w:rPr>
            </w:pPr>
            <w:r w:rsidRPr="00C3751E">
              <w:t>13.86%</w:t>
            </w:r>
          </w:p>
        </w:tc>
        <w:tc>
          <w:tcPr>
            <w:tcW w:w="1254" w:type="dxa"/>
            <w:tcBorders>
              <w:top w:val="nil"/>
              <w:left w:val="nil"/>
              <w:right w:val="nil"/>
            </w:tcBorders>
            <w:shd w:val="clear" w:color="auto" w:fill="auto"/>
            <w:noWrap/>
            <w:vAlign w:val="center"/>
            <w:hideMark/>
          </w:tcPr>
          <w:p w14:paraId="675BAAFD" w14:textId="14FE7212" w:rsidR="00CE5D72" w:rsidRPr="007375B2" w:rsidRDefault="00CE5D72" w:rsidP="00CE5D72">
            <w:pPr>
              <w:spacing w:beforeLines="50" w:before="120" w:afterLines="50" w:after="120" w:line="276" w:lineRule="auto"/>
              <w:jc w:val="center"/>
              <w:rPr>
                <w:rFonts w:eastAsia="宋体..閰繷." w:cs="Times New Roman"/>
                <w:szCs w:val="18"/>
              </w:rPr>
            </w:pPr>
            <w:r w:rsidRPr="00C3751E">
              <w:t>13.99%</w:t>
            </w:r>
          </w:p>
        </w:tc>
        <w:tc>
          <w:tcPr>
            <w:tcW w:w="1254" w:type="dxa"/>
            <w:tcBorders>
              <w:top w:val="nil"/>
              <w:left w:val="nil"/>
              <w:right w:val="nil"/>
            </w:tcBorders>
            <w:shd w:val="clear" w:color="auto" w:fill="auto"/>
            <w:noWrap/>
            <w:vAlign w:val="center"/>
            <w:hideMark/>
          </w:tcPr>
          <w:p w14:paraId="42BB976F" w14:textId="1C9B5C8D" w:rsidR="00CE5D72" w:rsidRPr="007375B2" w:rsidRDefault="00CE5D72" w:rsidP="00CE5D72">
            <w:pPr>
              <w:spacing w:beforeLines="50" w:before="120" w:afterLines="50" w:after="120" w:line="276" w:lineRule="auto"/>
              <w:jc w:val="center"/>
              <w:rPr>
                <w:rFonts w:eastAsia="宋体..閰繷." w:cs="Times New Roman"/>
                <w:szCs w:val="18"/>
              </w:rPr>
            </w:pPr>
            <w:r w:rsidRPr="00C3751E">
              <w:t>13.89%</w:t>
            </w:r>
          </w:p>
        </w:tc>
        <w:tc>
          <w:tcPr>
            <w:tcW w:w="1254" w:type="dxa"/>
            <w:tcBorders>
              <w:top w:val="nil"/>
              <w:left w:val="nil"/>
              <w:right w:val="nil"/>
            </w:tcBorders>
            <w:shd w:val="clear" w:color="auto" w:fill="auto"/>
            <w:noWrap/>
            <w:vAlign w:val="center"/>
            <w:hideMark/>
          </w:tcPr>
          <w:p w14:paraId="31AD49E7" w14:textId="49CB04F3" w:rsidR="00CE5D72" w:rsidRPr="007375B2" w:rsidRDefault="00CE5D72" w:rsidP="00CE5D72">
            <w:pPr>
              <w:spacing w:beforeLines="50" w:before="120" w:afterLines="50" w:after="120" w:line="276" w:lineRule="auto"/>
              <w:jc w:val="center"/>
              <w:rPr>
                <w:rFonts w:eastAsia="宋体..閰繷." w:cs="Times New Roman"/>
                <w:szCs w:val="18"/>
              </w:rPr>
            </w:pPr>
            <w:r w:rsidRPr="00C3751E">
              <w:t>14.05%</w:t>
            </w:r>
          </w:p>
        </w:tc>
        <w:tc>
          <w:tcPr>
            <w:tcW w:w="1254" w:type="dxa"/>
            <w:tcBorders>
              <w:top w:val="nil"/>
              <w:left w:val="nil"/>
              <w:right w:val="nil"/>
            </w:tcBorders>
            <w:shd w:val="clear" w:color="auto" w:fill="auto"/>
            <w:noWrap/>
            <w:vAlign w:val="center"/>
            <w:hideMark/>
          </w:tcPr>
          <w:p w14:paraId="5FF8EED2" w14:textId="1A8D16EB" w:rsidR="00CE5D72" w:rsidRPr="007375B2" w:rsidRDefault="00CE5D72" w:rsidP="00CE5D72">
            <w:pPr>
              <w:spacing w:beforeLines="50" w:before="120" w:afterLines="50" w:after="120" w:line="276" w:lineRule="auto"/>
              <w:jc w:val="center"/>
              <w:rPr>
                <w:rFonts w:eastAsia="宋体..閰繷." w:cs="Times New Roman"/>
                <w:szCs w:val="18"/>
              </w:rPr>
            </w:pPr>
            <w:r w:rsidRPr="00C3751E">
              <w:t>14.26%</w:t>
            </w:r>
          </w:p>
        </w:tc>
      </w:tr>
      <w:tr w:rsidR="00321D86" w:rsidRPr="007375B2" w14:paraId="0847F43D" w14:textId="77777777" w:rsidTr="0025725F">
        <w:trPr>
          <w:trHeight w:val="407"/>
        </w:trPr>
        <w:tc>
          <w:tcPr>
            <w:tcW w:w="1560" w:type="dxa"/>
            <w:tcBorders>
              <w:top w:val="nil"/>
              <w:left w:val="nil"/>
              <w:right w:val="nil"/>
            </w:tcBorders>
            <w:shd w:val="clear" w:color="auto" w:fill="auto"/>
            <w:noWrap/>
            <w:vAlign w:val="center"/>
          </w:tcPr>
          <w:p w14:paraId="39F76364" w14:textId="64C5AB3E" w:rsidR="00321D86" w:rsidRDefault="00321D86" w:rsidP="00321D86">
            <w:pPr>
              <w:spacing w:beforeLines="50" w:before="120" w:afterLines="50" w:after="120" w:line="276" w:lineRule="auto"/>
              <w:jc w:val="both"/>
              <w:rPr>
                <w:rFonts w:eastAsia="宋体..閰繷." w:cs="Times New Roman"/>
                <w:b/>
                <w:szCs w:val="18"/>
              </w:rPr>
            </w:pPr>
            <w:r>
              <w:rPr>
                <w:rFonts w:eastAsia="宋体..閰繷." w:cs="Times New Roman" w:hint="eastAsia"/>
                <w:b/>
                <w:szCs w:val="18"/>
              </w:rPr>
              <w:t>销售费用率</w:t>
            </w:r>
          </w:p>
        </w:tc>
        <w:tc>
          <w:tcPr>
            <w:tcW w:w="1087" w:type="dxa"/>
            <w:tcBorders>
              <w:top w:val="nil"/>
              <w:left w:val="nil"/>
              <w:right w:val="nil"/>
            </w:tcBorders>
            <w:shd w:val="clear" w:color="auto" w:fill="auto"/>
            <w:noWrap/>
            <w:vAlign w:val="center"/>
          </w:tcPr>
          <w:p w14:paraId="62ACC66C" w14:textId="55F45505" w:rsidR="00321D86" w:rsidRPr="007375B2" w:rsidRDefault="00321D86" w:rsidP="00321D86">
            <w:pPr>
              <w:spacing w:beforeLines="50" w:before="120" w:afterLines="50" w:after="120" w:line="276" w:lineRule="auto"/>
              <w:jc w:val="center"/>
              <w:rPr>
                <w:rFonts w:eastAsia="宋体..閰繷." w:cs="Times New Roman"/>
                <w:szCs w:val="18"/>
              </w:rPr>
            </w:pPr>
            <w:r w:rsidRPr="001350E4">
              <w:t>6.50%</w:t>
            </w:r>
          </w:p>
        </w:tc>
        <w:tc>
          <w:tcPr>
            <w:tcW w:w="1254" w:type="dxa"/>
            <w:tcBorders>
              <w:top w:val="nil"/>
              <w:left w:val="nil"/>
              <w:right w:val="nil"/>
            </w:tcBorders>
            <w:shd w:val="clear" w:color="auto" w:fill="auto"/>
            <w:noWrap/>
            <w:vAlign w:val="center"/>
          </w:tcPr>
          <w:p w14:paraId="194507EF" w14:textId="196E92EF" w:rsidR="00321D86" w:rsidRPr="007375B2" w:rsidRDefault="00321D86" w:rsidP="00321D86">
            <w:pPr>
              <w:spacing w:beforeLines="50" w:before="120" w:afterLines="50" w:after="120" w:line="276" w:lineRule="auto"/>
              <w:jc w:val="center"/>
              <w:rPr>
                <w:rFonts w:eastAsia="宋体..閰繷." w:cs="Times New Roman"/>
                <w:szCs w:val="18"/>
              </w:rPr>
            </w:pPr>
            <w:r w:rsidRPr="001350E4">
              <w:t>5.69%</w:t>
            </w:r>
          </w:p>
        </w:tc>
        <w:tc>
          <w:tcPr>
            <w:tcW w:w="1254" w:type="dxa"/>
            <w:tcBorders>
              <w:top w:val="nil"/>
              <w:left w:val="nil"/>
              <w:right w:val="nil"/>
            </w:tcBorders>
            <w:shd w:val="clear" w:color="auto" w:fill="auto"/>
            <w:noWrap/>
            <w:vAlign w:val="center"/>
          </w:tcPr>
          <w:p w14:paraId="084E287B" w14:textId="4207A6CD" w:rsidR="00321D86" w:rsidRPr="007375B2" w:rsidRDefault="00321D86" w:rsidP="00321D86">
            <w:pPr>
              <w:spacing w:beforeLines="50" w:before="120" w:afterLines="50" w:after="120" w:line="276" w:lineRule="auto"/>
              <w:jc w:val="center"/>
              <w:rPr>
                <w:rFonts w:eastAsia="宋体..閰繷." w:cs="Times New Roman"/>
                <w:szCs w:val="18"/>
              </w:rPr>
            </w:pPr>
            <w:r w:rsidRPr="001350E4">
              <w:t>5.29%</w:t>
            </w:r>
          </w:p>
        </w:tc>
        <w:tc>
          <w:tcPr>
            <w:tcW w:w="1254" w:type="dxa"/>
            <w:tcBorders>
              <w:top w:val="nil"/>
              <w:left w:val="nil"/>
              <w:right w:val="nil"/>
            </w:tcBorders>
            <w:shd w:val="clear" w:color="auto" w:fill="auto"/>
            <w:noWrap/>
            <w:vAlign w:val="center"/>
          </w:tcPr>
          <w:p w14:paraId="3973A331" w14:textId="3A96E75B" w:rsidR="00321D86" w:rsidRPr="007375B2" w:rsidRDefault="00321D86" w:rsidP="00321D86">
            <w:pPr>
              <w:spacing w:beforeLines="50" w:before="120" w:afterLines="50" w:after="120" w:line="276" w:lineRule="auto"/>
              <w:jc w:val="center"/>
              <w:rPr>
                <w:rFonts w:eastAsia="宋体..閰繷." w:cs="Times New Roman"/>
                <w:szCs w:val="18"/>
              </w:rPr>
            </w:pPr>
            <w:r w:rsidRPr="001350E4">
              <w:t>5.04%</w:t>
            </w:r>
          </w:p>
        </w:tc>
        <w:tc>
          <w:tcPr>
            <w:tcW w:w="1254" w:type="dxa"/>
            <w:tcBorders>
              <w:top w:val="nil"/>
              <w:left w:val="nil"/>
              <w:right w:val="nil"/>
            </w:tcBorders>
            <w:shd w:val="clear" w:color="auto" w:fill="auto"/>
            <w:noWrap/>
            <w:vAlign w:val="center"/>
          </w:tcPr>
          <w:p w14:paraId="24486498" w14:textId="4A366294" w:rsidR="00321D86" w:rsidRPr="007375B2" w:rsidRDefault="00321D86" w:rsidP="00321D86">
            <w:pPr>
              <w:spacing w:beforeLines="50" w:before="120" w:afterLines="50" w:after="120" w:line="276" w:lineRule="auto"/>
              <w:jc w:val="center"/>
              <w:rPr>
                <w:rFonts w:eastAsia="宋体..閰繷." w:cs="Times New Roman"/>
                <w:szCs w:val="18"/>
              </w:rPr>
            </w:pPr>
            <w:r w:rsidRPr="001350E4">
              <w:t>4.79%</w:t>
            </w:r>
          </w:p>
        </w:tc>
      </w:tr>
      <w:tr w:rsidR="00A9597F" w:rsidRPr="007375B2" w14:paraId="52F96307" w14:textId="77777777" w:rsidTr="00234500">
        <w:trPr>
          <w:trHeight w:val="407"/>
        </w:trPr>
        <w:tc>
          <w:tcPr>
            <w:tcW w:w="1560" w:type="dxa"/>
            <w:tcBorders>
              <w:left w:val="nil"/>
              <w:bottom w:val="single" w:sz="4" w:space="0" w:color="auto"/>
              <w:right w:val="nil"/>
            </w:tcBorders>
            <w:shd w:val="clear" w:color="auto" w:fill="auto"/>
            <w:noWrap/>
            <w:vAlign w:val="center"/>
            <w:hideMark/>
          </w:tcPr>
          <w:p w14:paraId="42834B88" w14:textId="6B2D25EF" w:rsidR="00A9597F" w:rsidRPr="007375B2" w:rsidRDefault="00A9597F" w:rsidP="00A9597F">
            <w:pPr>
              <w:spacing w:beforeLines="50" w:before="120" w:afterLines="50" w:after="120" w:line="276" w:lineRule="auto"/>
              <w:jc w:val="both"/>
              <w:rPr>
                <w:rFonts w:eastAsia="宋体..閰繷." w:cs="Times New Roman"/>
                <w:b/>
                <w:szCs w:val="18"/>
              </w:rPr>
            </w:pPr>
            <w:r>
              <w:rPr>
                <w:rFonts w:eastAsia="宋体..閰繷." w:cs="Times New Roman" w:hint="eastAsia"/>
                <w:b/>
                <w:szCs w:val="18"/>
              </w:rPr>
              <w:t>营业利润率</w:t>
            </w:r>
          </w:p>
        </w:tc>
        <w:tc>
          <w:tcPr>
            <w:tcW w:w="1087" w:type="dxa"/>
            <w:tcBorders>
              <w:left w:val="nil"/>
              <w:bottom w:val="single" w:sz="4" w:space="0" w:color="auto"/>
              <w:right w:val="nil"/>
            </w:tcBorders>
            <w:shd w:val="clear" w:color="auto" w:fill="auto"/>
            <w:noWrap/>
          </w:tcPr>
          <w:p w14:paraId="41F575C0" w14:textId="46317D98" w:rsidR="00A9597F" w:rsidRPr="007375B2" w:rsidRDefault="00A9597F" w:rsidP="00A9597F">
            <w:pPr>
              <w:spacing w:beforeLines="50" w:before="120" w:afterLines="50" w:after="120" w:line="276" w:lineRule="auto"/>
              <w:jc w:val="center"/>
              <w:rPr>
                <w:rFonts w:eastAsia="宋体..閰繷." w:cs="Times New Roman"/>
                <w:szCs w:val="18"/>
              </w:rPr>
            </w:pPr>
            <w:r w:rsidRPr="00C56D59">
              <w:t>13.91%</w:t>
            </w:r>
          </w:p>
        </w:tc>
        <w:tc>
          <w:tcPr>
            <w:tcW w:w="1254" w:type="dxa"/>
            <w:tcBorders>
              <w:left w:val="nil"/>
              <w:bottom w:val="single" w:sz="4" w:space="0" w:color="auto"/>
              <w:right w:val="nil"/>
            </w:tcBorders>
            <w:shd w:val="clear" w:color="auto" w:fill="auto"/>
            <w:noWrap/>
          </w:tcPr>
          <w:p w14:paraId="00B31C53" w14:textId="73AC07CF" w:rsidR="00A9597F" w:rsidRPr="007375B2" w:rsidRDefault="00A9597F" w:rsidP="00A9597F">
            <w:pPr>
              <w:spacing w:beforeLines="50" w:before="120" w:afterLines="50" w:after="120" w:line="276" w:lineRule="auto"/>
              <w:jc w:val="center"/>
              <w:rPr>
                <w:rFonts w:eastAsia="宋体..閰繷." w:cs="Times New Roman"/>
                <w:szCs w:val="18"/>
              </w:rPr>
            </w:pPr>
            <w:r w:rsidRPr="00C56D59">
              <w:t>13.77%</w:t>
            </w:r>
          </w:p>
        </w:tc>
        <w:tc>
          <w:tcPr>
            <w:tcW w:w="1254" w:type="dxa"/>
            <w:tcBorders>
              <w:left w:val="nil"/>
              <w:bottom w:val="single" w:sz="4" w:space="0" w:color="auto"/>
              <w:right w:val="nil"/>
            </w:tcBorders>
            <w:shd w:val="clear" w:color="auto" w:fill="auto"/>
            <w:noWrap/>
          </w:tcPr>
          <w:p w14:paraId="725239E5" w14:textId="29B47701" w:rsidR="00A9597F" w:rsidRPr="007375B2" w:rsidRDefault="00A9597F" w:rsidP="00A9597F">
            <w:pPr>
              <w:spacing w:beforeLines="50" w:before="120" w:afterLines="50" w:after="120" w:line="276" w:lineRule="auto"/>
              <w:jc w:val="center"/>
              <w:rPr>
                <w:rFonts w:eastAsia="宋体..閰繷." w:cs="Times New Roman"/>
                <w:szCs w:val="18"/>
              </w:rPr>
            </w:pPr>
            <w:r w:rsidRPr="00C56D59">
              <w:t>14.11%</w:t>
            </w:r>
          </w:p>
        </w:tc>
        <w:tc>
          <w:tcPr>
            <w:tcW w:w="1254" w:type="dxa"/>
            <w:tcBorders>
              <w:left w:val="nil"/>
              <w:bottom w:val="single" w:sz="4" w:space="0" w:color="auto"/>
              <w:right w:val="nil"/>
            </w:tcBorders>
            <w:shd w:val="clear" w:color="auto" w:fill="auto"/>
            <w:noWrap/>
          </w:tcPr>
          <w:p w14:paraId="57840AAA" w14:textId="0B461CEF" w:rsidR="00A9597F" w:rsidRPr="007375B2" w:rsidRDefault="00A9597F" w:rsidP="00A9597F">
            <w:pPr>
              <w:spacing w:beforeLines="50" w:before="120" w:afterLines="50" w:after="120" w:line="276" w:lineRule="auto"/>
              <w:jc w:val="center"/>
              <w:rPr>
                <w:rFonts w:eastAsia="宋体..閰繷." w:cs="Times New Roman"/>
                <w:szCs w:val="18"/>
              </w:rPr>
            </w:pPr>
            <w:r w:rsidRPr="00C56D59">
              <w:t>14.60%</w:t>
            </w:r>
          </w:p>
        </w:tc>
        <w:tc>
          <w:tcPr>
            <w:tcW w:w="1254" w:type="dxa"/>
            <w:tcBorders>
              <w:left w:val="nil"/>
              <w:bottom w:val="single" w:sz="4" w:space="0" w:color="auto"/>
              <w:right w:val="nil"/>
            </w:tcBorders>
            <w:shd w:val="clear" w:color="auto" w:fill="auto"/>
            <w:noWrap/>
          </w:tcPr>
          <w:p w14:paraId="7F9A0687" w14:textId="1BD0BFD0" w:rsidR="00A9597F" w:rsidRPr="007375B2" w:rsidRDefault="00A9597F" w:rsidP="00A9597F">
            <w:pPr>
              <w:spacing w:beforeLines="50" w:before="120" w:afterLines="50" w:after="120" w:line="276" w:lineRule="auto"/>
              <w:jc w:val="center"/>
              <w:rPr>
                <w:rFonts w:eastAsia="宋体..閰繷." w:cs="Times New Roman"/>
                <w:szCs w:val="18"/>
              </w:rPr>
            </w:pPr>
            <w:r w:rsidRPr="00C56D59">
              <w:t>15.13%</w:t>
            </w:r>
          </w:p>
        </w:tc>
      </w:tr>
    </w:tbl>
    <w:p w14:paraId="4458D24B" w14:textId="77777777" w:rsidR="007375B2" w:rsidRPr="006269F1" w:rsidRDefault="007375B2" w:rsidP="004A5072">
      <w:pPr>
        <w:pStyle w:val="a4"/>
        <w:spacing w:line="276" w:lineRule="auto"/>
        <w:ind w:leftChars="-54" w:left="-97"/>
        <w:rPr>
          <w:rFonts w:asciiTheme="minorEastAsia" w:eastAsiaTheme="minorEastAsia" w:hAnsiTheme="minorEastAsia"/>
          <w:i/>
          <w:color w:val="auto"/>
          <w:sz w:val="15"/>
          <w:szCs w:val="15"/>
        </w:rPr>
      </w:pPr>
      <w:r w:rsidRPr="006269F1">
        <w:rPr>
          <w:rFonts w:asciiTheme="minorEastAsia" w:eastAsiaTheme="minorEastAsia" w:hAnsiTheme="minorEastAsia"/>
          <w:color w:val="auto"/>
          <w:sz w:val="15"/>
          <w:szCs w:val="15"/>
        </w:rPr>
        <w:t>资料来源</w:t>
      </w:r>
      <w:r w:rsidRPr="006269F1">
        <w:rPr>
          <w:rFonts w:asciiTheme="minorEastAsia" w:eastAsiaTheme="minorEastAsia" w:hAnsiTheme="minorEastAsia" w:hint="eastAsia"/>
          <w:color w:val="auto"/>
          <w:sz w:val="15"/>
          <w:szCs w:val="15"/>
        </w:rPr>
        <w:t>：公司财报，广发证券（香港）经纪财富研究</w:t>
      </w:r>
    </w:p>
    <w:p w14:paraId="53AB3DCD" w14:textId="05EDC378" w:rsidR="007375B2" w:rsidRDefault="007375B2" w:rsidP="009F14D2">
      <w:pPr>
        <w:spacing w:beforeLines="50" w:before="120" w:afterLines="50" w:after="120" w:line="276" w:lineRule="auto"/>
        <w:rPr>
          <w:rFonts w:eastAsia="宋体..閰繷." w:cs="Times New Roman"/>
          <w:szCs w:val="18"/>
        </w:rPr>
      </w:pPr>
      <w:r w:rsidRPr="007375B2">
        <w:rPr>
          <w:rFonts w:eastAsia="宋体..閰繷." w:cs="Times New Roman" w:hint="eastAsia"/>
          <w:szCs w:val="18"/>
        </w:rPr>
        <w:t>预计公司</w:t>
      </w:r>
      <w:r w:rsidRPr="007375B2">
        <w:rPr>
          <w:rFonts w:eastAsia="宋体..閰繷." w:cs="Times New Roman" w:hint="eastAsia"/>
          <w:szCs w:val="18"/>
        </w:rPr>
        <w:t>2023-2025</w:t>
      </w:r>
      <w:r w:rsidRPr="007375B2">
        <w:rPr>
          <w:rFonts w:eastAsia="宋体..閰繷." w:cs="Times New Roman" w:hint="eastAsia"/>
          <w:szCs w:val="18"/>
        </w:rPr>
        <w:t>年股东应占利润分别为</w:t>
      </w:r>
      <w:r w:rsidRPr="007375B2">
        <w:rPr>
          <w:rFonts w:eastAsia="宋体..閰繷." w:cs="Times New Roman" w:hint="eastAsia"/>
          <w:szCs w:val="18"/>
        </w:rPr>
        <w:t>13</w:t>
      </w:r>
      <w:r w:rsidR="0006128C">
        <w:rPr>
          <w:rFonts w:eastAsia="宋体..閰繷." w:cs="Times New Roman"/>
          <w:szCs w:val="18"/>
        </w:rPr>
        <w:t>70</w:t>
      </w:r>
      <w:r w:rsidRPr="007375B2">
        <w:rPr>
          <w:rFonts w:eastAsia="宋体..閰繷." w:cs="Times New Roman" w:hint="eastAsia"/>
          <w:szCs w:val="18"/>
        </w:rPr>
        <w:t>/15</w:t>
      </w:r>
      <w:r w:rsidR="0006128C">
        <w:rPr>
          <w:rFonts w:eastAsia="宋体..閰繷." w:cs="Times New Roman"/>
          <w:szCs w:val="18"/>
        </w:rPr>
        <w:t>10</w:t>
      </w:r>
      <w:r w:rsidRPr="007375B2">
        <w:rPr>
          <w:rFonts w:eastAsia="宋体..閰繷." w:cs="Times New Roman" w:hint="eastAsia"/>
          <w:szCs w:val="18"/>
        </w:rPr>
        <w:t>/16</w:t>
      </w:r>
      <w:r w:rsidR="0006128C">
        <w:rPr>
          <w:rFonts w:eastAsia="宋体..閰繷." w:cs="Times New Roman"/>
          <w:szCs w:val="18"/>
        </w:rPr>
        <w:t>64</w:t>
      </w:r>
      <w:r w:rsidRPr="007375B2">
        <w:rPr>
          <w:rFonts w:eastAsia="宋体..閰繷." w:cs="Times New Roman" w:hint="eastAsia"/>
          <w:szCs w:val="18"/>
        </w:rPr>
        <w:t>亿元，我们给予公司</w:t>
      </w:r>
      <w:r w:rsidRPr="007375B2">
        <w:rPr>
          <w:rFonts w:eastAsia="宋体..閰繷." w:cs="Times New Roman" w:hint="eastAsia"/>
          <w:szCs w:val="18"/>
        </w:rPr>
        <w:t>2023</w:t>
      </w:r>
      <w:r w:rsidRPr="007375B2">
        <w:rPr>
          <w:rFonts w:eastAsia="宋体..閰繷." w:cs="Times New Roman" w:hint="eastAsia"/>
          <w:szCs w:val="18"/>
        </w:rPr>
        <w:t>年</w:t>
      </w:r>
      <w:r w:rsidRPr="007375B2">
        <w:rPr>
          <w:rFonts w:eastAsia="宋体..閰繷." w:cs="Times New Roman" w:hint="eastAsia"/>
          <w:szCs w:val="18"/>
        </w:rPr>
        <w:t>10</w:t>
      </w:r>
      <w:r w:rsidRPr="007375B2">
        <w:rPr>
          <w:rFonts w:eastAsia="宋体..閰繷." w:cs="Times New Roman" w:hint="eastAsia"/>
          <w:szCs w:val="18"/>
        </w:rPr>
        <w:t>倍市盈率的估值，对应合理价值为</w:t>
      </w:r>
      <w:r w:rsidR="003D309E">
        <w:rPr>
          <w:rFonts w:eastAsia="宋体..閰繷." w:cs="Times New Roman"/>
          <w:szCs w:val="18"/>
        </w:rPr>
        <w:t>73.4</w:t>
      </w:r>
      <w:r w:rsidRPr="007375B2">
        <w:rPr>
          <w:rFonts w:eastAsia="宋体..閰繷." w:cs="Times New Roman" w:hint="eastAsia"/>
          <w:szCs w:val="18"/>
        </w:rPr>
        <w:t>港元</w:t>
      </w:r>
      <w:r w:rsidRPr="007375B2">
        <w:rPr>
          <w:rFonts w:eastAsia="宋体..閰繷." w:cs="Times New Roman" w:hint="eastAsia"/>
          <w:szCs w:val="18"/>
        </w:rPr>
        <w:t>/</w:t>
      </w:r>
      <w:r w:rsidRPr="007375B2">
        <w:rPr>
          <w:rFonts w:eastAsia="宋体..閰繷." w:cs="Times New Roman" w:hint="eastAsia"/>
          <w:szCs w:val="18"/>
        </w:rPr>
        <w:t>股（参考汇率</w:t>
      </w:r>
      <w:r w:rsidRPr="007375B2">
        <w:rPr>
          <w:rFonts w:eastAsia="宋体..閰繷." w:cs="Times New Roman" w:hint="eastAsia"/>
          <w:szCs w:val="18"/>
        </w:rPr>
        <w:t>1</w:t>
      </w:r>
      <w:r w:rsidRPr="007375B2">
        <w:rPr>
          <w:rFonts w:eastAsia="宋体..閰繷." w:cs="Times New Roman" w:hint="eastAsia"/>
          <w:szCs w:val="18"/>
        </w:rPr>
        <w:t>港元</w:t>
      </w:r>
      <w:r w:rsidRPr="007375B2">
        <w:rPr>
          <w:rFonts w:eastAsia="宋体..閰繷." w:cs="Times New Roman" w:hint="eastAsia"/>
          <w:szCs w:val="18"/>
        </w:rPr>
        <w:t>=0.87652</w:t>
      </w:r>
      <w:r w:rsidRPr="007375B2">
        <w:rPr>
          <w:rFonts w:eastAsia="宋体..閰繷." w:cs="Times New Roman" w:hint="eastAsia"/>
          <w:szCs w:val="18"/>
        </w:rPr>
        <w:t>人民币）。</w:t>
      </w:r>
    </w:p>
    <w:p w14:paraId="51F774E2" w14:textId="77777777" w:rsidR="007375B2" w:rsidRDefault="007375B2" w:rsidP="009F14D2">
      <w:pPr>
        <w:spacing w:beforeLines="50" w:before="120" w:afterLines="50" w:after="120" w:line="276" w:lineRule="auto"/>
        <w:rPr>
          <w:rFonts w:eastAsia="宋体..閰繷." w:cs="Times New Roman"/>
          <w:szCs w:val="18"/>
        </w:rPr>
      </w:pPr>
    </w:p>
    <w:p w14:paraId="461122A8" w14:textId="406085BD" w:rsidR="009F14D2" w:rsidRPr="00046A71" w:rsidRDefault="009F14D2" w:rsidP="009F14D2">
      <w:pPr>
        <w:spacing w:beforeLines="50" w:before="120" w:afterLines="50" w:after="120" w:line="276" w:lineRule="auto"/>
        <w:rPr>
          <w:rFonts w:eastAsia="宋体..閰繷." w:cs="Times New Roman"/>
          <w:szCs w:val="18"/>
        </w:rPr>
      </w:pPr>
      <w:r w:rsidRPr="3F63DB4B">
        <w:rPr>
          <w:rFonts w:eastAsia="宋体..閰繷." w:cs="Times New Roman"/>
          <w:b/>
          <w:bCs/>
          <w:szCs w:val="18"/>
        </w:rPr>
        <w:t>风险提示</w:t>
      </w:r>
      <w:r w:rsidRPr="3F63DB4B">
        <w:rPr>
          <w:rFonts w:ascii="宋体..閰繷." w:eastAsia="宋体..閰繷." w:hAnsi="宋体..閰繷." w:cs="宋体..閰繷."/>
          <w:szCs w:val="18"/>
        </w:rPr>
        <w:t>：</w:t>
      </w:r>
      <w:r w:rsidR="00C0717D" w:rsidRPr="00A20FCE">
        <w:rPr>
          <w:rFonts w:eastAsia="宋体..閰繷." w:cs="Times New Roman"/>
          <w:szCs w:val="18"/>
        </w:rPr>
        <w:t>5G</w:t>
      </w:r>
      <w:r w:rsidR="00C0717D" w:rsidRPr="00C0717D">
        <w:rPr>
          <w:rFonts w:ascii="宋体..閰繷." w:eastAsia="宋体..閰繷." w:hAnsi="宋体..閰繷." w:cs="宋体..閰繷." w:hint="eastAsia"/>
          <w:szCs w:val="18"/>
        </w:rPr>
        <w:t>应用发展不及预期；政企业务发展不及预期；移动和宽带行业竞争加剧；新兴业务投资不及预期。</w:t>
      </w:r>
    </w:p>
    <w:p w14:paraId="0878170A" w14:textId="1A6B5CE7" w:rsidR="005A0F63" w:rsidRPr="005A0F63" w:rsidRDefault="009F14D2" w:rsidP="009F14D2">
      <w:pPr>
        <w:pStyle w:val="ListParagraph"/>
        <w:ind w:left="765"/>
        <w:rPr>
          <w:rFonts w:cs="Times New Roman"/>
          <w:szCs w:val="20"/>
        </w:rPr>
      </w:pPr>
      <w:r>
        <w:rPr>
          <w:rFonts w:eastAsia="宋体..閰繷." w:cs="Times New Roman"/>
          <w:b/>
          <w:bCs/>
          <w:color w:val="002060"/>
          <w:sz w:val="24"/>
          <w:szCs w:val="24"/>
        </w:rPr>
        <w:br w:type="page"/>
      </w:r>
    </w:p>
    <w:p w14:paraId="059FFC5C" w14:textId="77777777" w:rsidR="00833716" w:rsidRDefault="00343CE3">
      <w:pPr>
        <w:spacing w:after="0" w:line="240" w:lineRule="auto"/>
        <w:ind w:right="-187"/>
        <w:rPr>
          <w:rFonts w:cstheme="minorHAnsi"/>
          <w:b/>
          <w:color w:val="1F4E79" w:themeColor="accent1" w:themeShade="80"/>
        </w:rPr>
      </w:pPr>
      <w:r>
        <w:rPr>
          <w:rFonts w:asciiTheme="minorEastAsia" w:hAnsiTheme="minorEastAsia" w:hint="eastAsia"/>
          <w:b/>
          <w:sz w:val="24"/>
          <w:szCs w:val="24"/>
        </w:rPr>
        <w:lastRenderedPageBreak/>
        <w:t>财务预测</w:t>
      </w:r>
      <w:r>
        <w:rPr>
          <w:rFonts w:cstheme="minorHAnsi" w:hint="eastAsia"/>
          <w:b/>
          <w:color w:val="1F4E79" w:themeColor="accent1" w:themeShade="80"/>
        </w:rPr>
        <w:t>：</w:t>
      </w:r>
    </w:p>
    <w:p w14:paraId="60780043" w14:textId="29C09BE2" w:rsidR="00D86B3D" w:rsidRDefault="00AE4F8A">
      <w:pPr>
        <w:spacing w:after="0" w:line="240" w:lineRule="auto"/>
        <w:ind w:left="-2794" w:right="-187"/>
        <w:rPr>
          <w:rFonts w:cstheme="minorHAnsi"/>
          <w:b/>
          <w:color w:val="1F4E79" w:themeColor="accent1" w:themeShade="80"/>
          <w:sz w:val="22"/>
        </w:rPr>
      </w:pPr>
      <w:r w:rsidRPr="00AE4F8A">
        <w:rPr>
          <w:noProof/>
        </w:rPr>
        <w:drawing>
          <wp:inline distT="0" distB="0" distL="0" distR="0" wp14:anchorId="5C2DA6BC" wp14:editId="3026BDA3">
            <wp:extent cx="6992781" cy="831635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999405" cy="8324230"/>
                    </a:xfrm>
                    <a:prstGeom prst="rect">
                      <a:avLst/>
                    </a:prstGeom>
                    <a:noFill/>
                    <a:ln>
                      <a:noFill/>
                    </a:ln>
                  </pic:spPr>
                </pic:pic>
              </a:graphicData>
            </a:graphic>
          </wp:inline>
        </w:drawing>
      </w:r>
    </w:p>
    <w:p w14:paraId="3365517B" w14:textId="77777777" w:rsidR="00D86B3D" w:rsidRDefault="00D86B3D">
      <w:pPr>
        <w:spacing w:after="0" w:line="240" w:lineRule="auto"/>
        <w:rPr>
          <w:rFonts w:cstheme="minorHAnsi"/>
          <w:b/>
          <w:color w:val="1F4E79" w:themeColor="accent1" w:themeShade="80"/>
          <w:sz w:val="22"/>
        </w:rPr>
      </w:pPr>
      <w:r>
        <w:rPr>
          <w:rFonts w:cstheme="minorHAnsi"/>
          <w:b/>
          <w:color w:val="1F4E79" w:themeColor="accent1" w:themeShade="80"/>
          <w:sz w:val="22"/>
        </w:rPr>
        <w:br w:type="page"/>
      </w:r>
    </w:p>
    <w:p w14:paraId="0A5076B0" w14:textId="76AF0525" w:rsidR="00833716" w:rsidRPr="00CC2B7C" w:rsidRDefault="00343CE3">
      <w:pPr>
        <w:spacing w:after="0" w:line="240" w:lineRule="auto"/>
        <w:ind w:left="-2794" w:right="-187"/>
        <w:rPr>
          <w:rFonts w:cstheme="minorHAnsi"/>
          <w:b/>
          <w:color w:val="1F4E79" w:themeColor="accent1" w:themeShade="80"/>
          <w:sz w:val="22"/>
        </w:rPr>
      </w:pPr>
      <w:r w:rsidRPr="00CC2B7C">
        <w:rPr>
          <w:rFonts w:cstheme="minorHAnsi" w:hint="eastAsia"/>
          <w:b/>
          <w:color w:val="1F4E79" w:themeColor="accent1" w:themeShade="80"/>
          <w:sz w:val="22"/>
        </w:rPr>
        <w:lastRenderedPageBreak/>
        <w:t>免责条款</w:t>
      </w:r>
    </w:p>
    <w:p w14:paraId="4BE5FDED" w14:textId="77777777" w:rsidR="00833716" w:rsidRDefault="00833716">
      <w:pPr>
        <w:spacing w:after="0" w:line="240" w:lineRule="auto"/>
        <w:ind w:left="-2794" w:right="-187"/>
        <w:rPr>
          <w:rFonts w:cstheme="minorHAnsi"/>
          <w:b/>
          <w:color w:val="1F4E79" w:themeColor="accent1" w:themeShade="80"/>
        </w:rPr>
      </w:pPr>
    </w:p>
    <w:p w14:paraId="514B4B95" w14:textId="77777777" w:rsidR="00833716" w:rsidRDefault="00833716">
      <w:pPr>
        <w:spacing w:after="0" w:line="240" w:lineRule="auto"/>
        <w:ind w:right="-187"/>
        <w:jc w:val="both"/>
        <w:rPr>
          <w:rFonts w:ascii="Arial" w:hAnsi="Arial" w:cs="Arial"/>
          <w:sz w:val="16"/>
          <w:szCs w:val="16"/>
        </w:rPr>
      </w:pPr>
    </w:p>
    <w:p w14:paraId="509F6ED7" w14:textId="77777777" w:rsidR="00833716" w:rsidRDefault="00343CE3">
      <w:pPr>
        <w:spacing w:after="0" w:line="240" w:lineRule="auto"/>
        <w:ind w:left="-2794" w:right="-187"/>
        <w:jc w:val="both"/>
        <w:rPr>
          <w:rFonts w:ascii="Arial" w:hAnsi="Arial" w:cs="Arial"/>
          <w:sz w:val="16"/>
          <w:szCs w:val="16"/>
        </w:rPr>
      </w:pPr>
      <w:r>
        <w:rPr>
          <w:rFonts w:ascii="Arial" w:hAnsi="Arial" w:cs="Arial" w:hint="eastAsia"/>
          <w:sz w:val="16"/>
          <w:szCs w:val="16"/>
        </w:rPr>
        <w:t>本文件有关证券之内容由从事证券及期货条例</w:t>
      </w:r>
      <w:r>
        <w:rPr>
          <w:rFonts w:ascii="Arial" w:hAnsi="Arial" w:cs="Arial" w:hint="eastAsia"/>
          <w:sz w:val="16"/>
          <w:szCs w:val="16"/>
        </w:rPr>
        <w:t>(</w:t>
      </w:r>
      <w:r>
        <w:rPr>
          <w:rFonts w:ascii="Arial" w:hAnsi="Arial" w:cs="Arial" w:hint="eastAsia"/>
          <w:sz w:val="16"/>
          <w:szCs w:val="16"/>
        </w:rPr>
        <w:t>香港法例第</w:t>
      </w:r>
      <w:r>
        <w:rPr>
          <w:rFonts w:ascii="Arial" w:hAnsi="Arial" w:cs="Arial" w:hint="eastAsia"/>
          <w:sz w:val="16"/>
          <w:szCs w:val="16"/>
        </w:rPr>
        <w:t>571</w:t>
      </w:r>
      <w:r>
        <w:rPr>
          <w:rFonts w:ascii="Arial" w:hAnsi="Arial" w:cs="Arial" w:hint="eastAsia"/>
          <w:sz w:val="16"/>
          <w:szCs w:val="16"/>
        </w:rPr>
        <w:t>章</w:t>
      </w:r>
      <w:r>
        <w:rPr>
          <w:rFonts w:ascii="Arial" w:hAnsi="Arial" w:cs="Arial" w:hint="eastAsia"/>
          <w:sz w:val="16"/>
          <w:szCs w:val="16"/>
        </w:rPr>
        <w:t>)</w:t>
      </w:r>
      <w:r>
        <w:rPr>
          <w:rFonts w:ascii="Arial" w:hAnsi="Arial" w:cs="Arial" w:hint="eastAsia"/>
          <w:sz w:val="16"/>
          <w:szCs w:val="16"/>
        </w:rPr>
        <w:t>中第一类</w:t>
      </w:r>
      <w:r>
        <w:rPr>
          <w:rFonts w:ascii="Arial" w:hAnsi="Arial" w:cs="Arial" w:hint="eastAsia"/>
          <w:sz w:val="16"/>
          <w:szCs w:val="16"/>
        </w:rPr>
        <w:t>(</w:t>
      </w:r>
      <w:r>
        <w:rPr>
          <w:rFonts w:ascii="Arial" w:hAnsi="Arial" w:cs="Arial" w:hint="eastAsia"/>
          <w:sz w:val="16"/>
          <w:szCs w:val="16"/>
        </w:rPr>
        <w:t>证券交易</w:t>
      </w:r>
      <w:r>
        <w:rPr>
          <w:rFonts w:ascii="Arial" w:hAnsi="Arial" w:cs="Arial" w:hint="eastAsia"/>
          <w:sz w:val="16"/>
          <w:szCs w:val="16"/>
        </w:rPr>
        <w:t>)</w:t>
      </w:r>
      <w:r>
        <w:rPr>
          <w:rFonts w:ascii="Arial" w:hAnsi="Arial" w:cs="Arial" w:hint="eastAsia"/>
          <w:sz w:val="16"/>
          <w:szCs w:val="16"/>
        </w:rPr>
        <w:t>及第四类</w:t>
      </w:r>
      <w:r>
        <w:rPr>
          <w:rFonts w:ascii="Arial" w:hAnsi="Arial" w:cs="Arial" w:hint="eastAsia"/>
          <w:sz w:val="16"/>
          <w:szCs w:val="16"/>
        </w:rPr>
        <w:t>(</w:t>
      </w:r>
      <w:r>
        <w:rPr>
          <w:rFonts w:ascii="Arial" w:hAnsi="Arial" w:cs="Arial" w:hint="eastAsia"/>
          <w:sz w:val="16"/>
          <w:szCs w:val="16"/>
        </w:rPr>
        <w:t>就证券提供意见</w:t>
      </w:r>
      <w:r>
        <w:rPr>
          <w:rFonts w:ascii="Arial" w:hAnsi="Arial" w:cs="Arial" w:hint="eastAsia"/>
          <w:sz w:val="16"/>
          <w:szCs w:val="16"/>
        </w:rPr>
        <w:t>)</w:t>
      </w:r>
      <w:r>
        <w:rPr>
          <w:rFonts w:ascii="Arial" w:hAnsi="Arial" w:cs="Arial" w:hint="eastAsia"/>
          <w:sz w:val="16"/>
          <w:szCs w:val="16"/>
        </w:rPr>
        <w:t>受规管活动之持牌法团–广发证券</w:t>
      </w:r>
      <w:r>
        <w:rPr>
          <w:rFonts w:ascii="Arial" w:hAnsi="Arial" w:cs="Arial" w:hint="eastAsia"/>
          <w:sz w:val="16"/>
          <w:szCs w:val="16"/>
        </w:rPr>
        <w:t>(</w:t>
      </w:r>
      <w:r>
        <w:rPr>
          <w:rFonts w:ascii="Arial" w:hAnsi="Arial" w:cs="Arial" w:hint="eastAsia"/>
          <w:sz w:val="16"/>
          <w:szCs w:val="16"/>
        </w:rPr>
        <w:t>香港</w:t>
      </w:r>
      <w:r>
        <w:rPr>
          <w:rFonts w:ascii="Arial" w:hAnsi="Arial" w:cs="Arial" w:hint="eastAsia"/>
          <w:sz w:val="16"/>
          <w:szCs w:val="16"/>
        </w:rPr>
        <w:t>)</w:t>
      </w:r>
      <w:r>
        <w:rPr>
          <w:rFonts w:ascii="Arial" w:hAnsi="Arial" w:cs="Arial" w:hint="eastAsia"/>
          <w:sz w:val="16"/>
          <w:szCs w:val="16"/>
        </w:rPr>
        <w:t>经纪有限公司</w:t>
      </w:r>
      <w:r>
        <w:rPr>
          <w:rFonts w:ascii="Arial" w:hAnsi="Arial" w:cs="Arial" w:hint="eastAsia"/>
          <w:sz w:val="16"/>
          <w:szCs w:val="16"/>
        </w:rPr>
        <w:t>(</w:t>
      </w:r>
      <w:r>
        <w:rPr>
          <w:rFonts w:ascii="Arial" w:hAnsi="Arial" w:cs="Arial" w:hint="eastAsia"/>
          <w:sz w:val="16"/>
          <w:szCs w:val="16"/>
        </w:rPr>
        <w:t>“广发证券（香港）”</w:t>
      </w:r>
      <w:r>
        <w:rPr>
          <w:rFonts w:ascii="Arial" w:hAnsi="Arial" w:cs="Arial" w:hint="eastAsia"/>
          <w:sz w:val="16"/>
          <w:szCs w:val="16"/>
        </w:rPr>
        <w:t>)</w:t>
      </w:r>
      <w:r>
        <w:rPr>
          <w:rFonts w:ascii="Arial" w:hAnsi="Arial" w:cs="Arial" w:hint="eastAsia"/>
          <w:sz w:val="16"/>
          <w:szCs w:val="16"/>
        </w:rPr>
        <w:t>分发。本文件仅供我们的客户使用。本文件所提到的证券或不能在某些司法管辖区出售。在香港以外的国家</w:t>
      </w:r>
      <w:r>
        <w:rPr>
          <w:rFonts w:ascii="Arial" w:hAnsi="Arial" w:cs="Arial" w:hint="eastAsia"/>
          <w:sz w:val="16"/>
          <w:szCs w:val="16"/>
        </w:rPr>
        <w:t>/</w:t>
      </w:r>
      <w:r>
        <w:rPr>
          <w:rFonts w:ascii="Arial" w:hAnsi="Arial" w:cs="Arial" w:hint="eastAsia"/>
          <w:sz w:val="16"/>
          <w:szCs w:val="16"/>
        </w:rPr>
        <w:t>地区</w:t>
      </w:r>
      <w:r>
        <w:rPr>
          <w:rFonts w:ascii="Arial" w:hAnsi="Arial" w:cs="Arial" w:hint="eastAsia"/>
          <w:sz w:val="16"/>
          <w:szCs w:val="16"/>
        </w:rPr>
        <w:t>(</w:t>
      </w:r>
      <w:r>
        <w:rPr>
          <w:rFonts w:ascii="Arial" w:hAnsi="Arial" w:cs="Arial" w:hint="eastAsia"/>
          <w:sz w:val="16"/>
          <w:szCs w:val="16"/>
        </w:rPr>
        <w:t>特别是美国本土</w:t>
      </w:r>
      <w:r>
        <w:rPr>
          <w:rFonts w:ascii="Arial" w:hAnsi="Arial" w:cs="Arial" w:hint="eastAsia"/>
          <w:sz w:val="16"/>
          <w:szCs w:val="16"/>
        </w:rPr>
        <w:t>)</w:t>
      </w:r>
      <w:r>
        <w:rPr>
          <w:rFonts w:ascii="Arial" w:hAnsi="Arial" w:cs="Arial" w:hint="eastAsia"/>
          <w:sz w:val="16"/>
          <w:szCs w:val="16"/>
        </w:rPr>
        <w:t>分发本文件是绝对禁止的。本文件并非独立，不应被依赖作为对本文件主题的公正或客观评价。利益冲突可能会发生。本文件所载之资料和意见乃根据我们认为可靠的目前已公开的信息，惟广发证券</w:t>
      </w:r>
      <w:r>
        <w:rPr>
          <w:rFonts w:ascii="Arial" w:hAnsi="Arial" w:cs="Arial" w:hint="eastAsia"/>
          <w:sz w:val="16"/>
          <w:szCs w:val="16"/>
        </w:rPr>
        <w:t>(</w:t>
      </w:r>
      <w:r>
        <w:rPr>
          <w:rFonts w:ascii="Arial" w:hAnsi="Arial" w:cs="Arial" w:hint="eastAsia"/>
          <w:sz w:val="16"/>
          <w:szCs w:val="16"/>
        </w:rPr>
        <w:t>香港</w:t>
      </w:r>
      <w:r>
        <w:rPr>
          <w:rFonts w:ascii="Arial" w:hAnsi="Arial" w:cs="Arial" w:hint="eastAsia"/>
          <w:sz w:val="16"/>
          <w:szCs w:val="16"/>
        </w:rPr>
        <w:t>)</w:t>
      </w:r>
      <w:r>
        <w:rPr>
          <w:rFonts w:ascii="Arial" w:hAnsi="Arial" w:cs="Arial" w:hint="eastAsia"/>
          <w:sz w:val="16"/>
          <w:szCs w:val="16"/>
        </w:rPr>
        <w:t>并不就此等内容之准确性、完整性或正确性作出明示或默示之保证，亦不就其准确性或完整性承担任何责任。本文件反映策略师于发出本文件当日的观点及见解，广发证券（香港）可发出其他与本文件所载信息不一致及</w:t>
      </w:r>
      <w:r>
        <w:rPr>
          <w:rFonts w:ascii="Arial" w:hAnsi="Arial" w:cs="Arial" w:hint="eastAsia"/>
          <w:sz w:val="16"/>
          <w:szCs w:val="16"/>
        </w:rPr>
        <w:t>/</w:t>
      </w:r>
      <w:r>
        <w:rPr>
          <w:rFonts w:ascii="Arial" w:hAnsi="Arial" w:cs="Arial" w:hint="eastAsia"/>
          <w:sz w:val="16"/>
          <w:szCs w:val="16"/>
        </w:rPr>
        <w:t>或有不同结论的材料。本文件内表达之所有意见均可在不作另行通知之下作出更改。本文件纯粹用作提供信息，当中对任何公司或其证券之描述均并非旨在提供完整之描述，而本文件亦不应被解作为提供明示或默示的买入或沽出投资产品的要约。广发证券</w:t>
      </w:r>
      <w:r>
        <w:rPr>
          <w:rFonts w:ascii="Arial" w:hAnsi="Arial" w:cs="Arial" w:hint="eastAsia"/>
          <w:sz w:val="16"/>
          <w:szCs w:val="16"/>
        </w:rPr>
        <w:t>(</w:t>
      </w:r>
      <w:r>
        <w:rPr>
          <w:rFonts w:ascii="Arial" w:hAnsi="Arial" w:cs="Arial" w:hint="eastAsia"/>
          <w:sz w:val="16"/>
          <w:szCs w:val="16"/>
        </w:rPr>
        <w:t>香港</w:t>
      </w:r>
      <w:r>
        <w:rPr>
          <w:rFonts w:ascii="Arial" w:hAnsi="Arial" w:cs="Arial" w:hint="eastAsia"/>
          <w:sz w:val="16"/>
          <w:szCs w:val="16"/>
        </w:rPr>
        <w:t>)</w:t>
      </w:r>
      <w:r>
        <w:rPr>
          <w:rFonts w:ascii="Arial" w:hAnsi="Arial" w:cs="Arial" w:hint="eastAsia"/>
          <w:sz w:val="16"/>
          <w:szCs w:val="16"/>
        </w:rPr>
        <w:t>及其关联公司或任何其董事、雇员或代理人不对因使用本文件的内容而导致的损失承担任何责任。本文件中提到的投资产品及建议并非特别为阁下或任何投资者而设，阁下或任何投资者必须仔细考虑自己的财务状况、投资目标及风险取向与承受能力。阁下于作出投资前、必须充分理解投资产品涉及之风险并（如适用）咨询阁下的法律、税务、会计、财务及其他专业顾问。过去的表现不能代表未来的业绩。本文件中所载任何价格或水平仅属参考，可能因应市况变动而有所变化。广发证券（香港）不对因使用此等市场数据而产生的损失承担任何责任。证券价格可升可跌，甚至变成毫无价值。买卖证券未必一定能够赚取利润，反而可能会招致损失。广发证券</w:t>
      </w:r>
      <w:r>
        <w:rPr>
          <w:rFonts w:ascii="Arial" w:hAnsi="Arial" w:cs="Arial" w:hint="eastAsia"/>
          <w:sz w:val="16"/>
          <w:szCs w:val="16"/>
        </w:rPr>
        <w:t>(</w:t>
      </w:r>
      <w:r>
        <w:rPr>
          <w:rFonts w:ascii="Arial" w:hAnsi="Arial" w:cs="Arial" w:hint="eastAsia"/>
          <w:sz w:val="16"/>
          <w:szCs w:val="16"/>
        </w:rPr>
        <w:t>香港</w:t>
      </w:r>
      <w:r>
        <w:rPr>
          <w:rFonts w:ascii="Arial" w:hAnsi="Arial" w:cs="Arial" w:hint="eastAsia"/>
          <w:sz w:val="16"/>
          <w:szCs w:val="16"/>
        </w:rPr>
        <w:t>)</w:t>
      </w:r>
      <w:r>
        <w:rPr>
          <w:rFonts w:ascii="Arial" w:hAnsi="Arial" w:cs="Arial" w:hint="eastAsia"/>
          <w:sz w:val="16"/>
          <w:szCs w:val="16"/>
        </w:rPr>
        <w:t>及其关联公司、高级职员、董事及雇员可能为本文件中提及的证券发行人提供服务或向其招揽或要约</w:t>
      </w:r>
      <w:r>
        <w:rPr>
          <w:rFonts w:ascii="Arial" w:hAnsi="Arial" w:cs="Arial" w:hint="eastAsia"/>
          <w:sz w:val="16"/>
          <w:szCs w:val="16"/>
        </w:rPr>
        <w:t xml:space="preserve">, </w:t>
      </w:r>
      <w:r>
        <w:rPr>
          <w:rFonts w:ascii="Arial" w:hAnsi="Arial" w:cs="Arial" w:hint="eastAsia"/>
          <w:sz w:val="16"/>
          <w:szCs w:val="16"/>
        </w:rPr>
        <w:t>亦可能在本文件中提及的证券持有长仓或短仓，以及进行购买或沽售。</w:t>
      </w:r>
    </w:p>
    <w:p w14:paraId="0F6C1489" w14:textId="77777777" w:rsidR="00833716" w:rsidRDefault="00833716">
      <w:pPr>
        <w:spacing w:after="0" w:line="240" w:lineRule="auto"/>
        <w:ind w:left="-2794" w:right="-187"/>
        <w:jc w:val="both"/>
        <w:rPr>
          <w:rFonts w:ascii="Arial" w:hAnsi="Arial" w:cs="Arial"/>
          <w:sz w:val="16"/>
          <w:szCs w:val="16"/>
        </w:rPr>
      </w:pPr>
    </w:p>
    <w:p w14:paraId="405C8ADC" w14:textId="77777777" w:rsidR="00833716" w:rsidRDefault="00343CE3">
      <w:pPr>
        <w:spacing w:after="0" w:line="240" w:lineRule="auto"/>
        <w:ind w:left="-2794" w:right="-187"/>
        <w:jc w:val="both"/>
        <w:rPr>
          <w:rFonts w:ascii="Arial" w:hAnsi="Arial" w:cs="Arial"/>
          <w:b/>
          <w:sz w:val="16"/>
          <w:szCs w:val="16"/>
        </w:rPr>
      </w:pPr>
      <w:r>
        <w:rPr>
          <w:rFonts w:ascii="Arial" w:hAnsi="Arial" w:cs="Arial" w:hint="eastAsia"/>
          <w:b/>
          <w:sz w:val="16"/>
          <w:szCs w:val="16"/>
        </w:rPr>
        <w:t>版权所有：广发证券</w:t>
      </w:r>
      <w:r>
        <w:rPr>
          <w:rFonts w:ascii="Arial" w:hAnsi="Arial" w:cs="Arial" w:hint="eastAsia"/>
          <w:b/>
          <w:sz w:val="16"/>
          <w:szCs w:val="16"/>
        </w:rPr>
        <w:t xml:space="preserve"> (</w:t>
      </w:r>
      <w:r>
        <w:rPr>
          <w:rFonts w:ascii="Arial" w:hAnsi="Arial" w:cs="Arial" w:hint="eastAsia"/>
          <w:b/>
          <w:sz w:val="16"/>
          <w:szCs w:val="16"/>
        </w:rPr>
        <w:t>香港</w:t>
      </w:r>
      <w:r>
        <w:rPr>
          <w:rFonts w:ascii="Arial" w:hAnsi="Arial" w:cs="Arial" w:hint="eastAsia"/>
          <w:b/>
          <w:sz w:val="16"/>
          <w:szCs w:val="16"/>
        </w:rPr>
        <w:t xml:space="preserve">) </w:t>
      </w:r>
      <w:r>
        <w:rPr>
          <w:rFonts w:ascii="Arial" w:hAnsi="Arial" w:cs="Arial" w:hint="eastAsia"/>
          <w:b/>
          <w:sz w:val="16"/>
          <w:szCs w:val="16"/>
        </w:rPr>
        <w:t>经纪有限公司</w:t>
      </w:r>
    </w:p>
    <w:p w14:paraId="3947F184" w14:textId="77777777" w:rsidR="00833716" w:rsidRDefault="00343CE3">
      <w:pPr>
        <w:spacing w:after="0" w:line="240" w:lineRule="auto"/>
        <w:ind w:left="-2794" w:right="-187"/>
        <w:jc w:val="both"/>
        <w:rPr>
          <w:rFonts w:ascii="Arial" w:hAnsi="Arial" w:cs="Arial"/>
          <w:b/>
          <w:sz w:val="16"/>
          <w:szCs w:val="16"/>
        </w:rPr>
      </w:pPr>
      <w:r>
        <w:rPr>
          <w:rFonts w:ascii="Arial" w:hAnsi="Arial" w:cs="Arial" w:hint="eastAsia"/>
          <w:b/>
          <w:sz w:val="16"/>
          <w:szCs w:val="16"/>
        </w:rPr>
        <w:t>未经广发证券</w:t>
      </w:r>
      <w:r>
        <w:rPr>
          <w:rFonts w:ascii="Arial" w:hAnsi="Arial" w:cs="Arial" w:hint="eastAsia"/>
          <w:b/>
          <w:sz w:val="16"/>
          <w:szCs w:val="16"/>
        </w:rPr>
        <w:t xml:space="preserve"> (</w:t>
      </w:r>
      <w:r>
        <w:rPr>
          <w:rFonts w:ascii="Arial" w:hAnsi="Arial" w:cs="Arial" w:hint="eastAsia"/>
          <w:b/>
          <w:sz w:val="16"/>
          <w:szCs w:val="16"/>
        </w:rPr>
        <w:t>香港</w:t>
      </w:r>
      <w:r>
        <w:rPr>
          <w:rFonts w:ascii="Arial" w:hAnsi="Arial" w:cs="Arial" w:hint="eastAsia"/>
          <w:b/>
          <w:sz w:val="16"/>
          <w:szCs w:val="16"/>
        </w:rPr>
        <w:t xml:space="preserve">) </w:t>
      </w:r>
      <w:r>
        <w:rPr>
          <w:rFonts w:ascii="Arial" w:hAnsi="Arial" w:cs="Arial" w:hint="eastAsia"/>
          <w:b/>
          <w:sz w:val="16"/>
          <w:szCs w:val="16"/>
        </w:rPr>
        <w:t>经纪有限公司事先书面同意，本材料的任何部分均不得</w:t>
      </w:r>
      <w:r>
        <w:rPr>
          <w:rFonts w:ascii="Arial" w:hAnsi="Arial" w:cs="Arial" w:hint="eastAsia"/>
          <w:b/>
          <w:sz w:val="16"/>
          <w:szCs w:val="16"/>
        </w:rPr>
        <w:t xml:space="preserve"> (</w:t>
      </w:r>
      <w:proofErr w:type="spellStart"/>
      <w:r>
        <w:rPr>
          <w:rFonts w:ascii="Arial" w:hAnsi="Arial" w:cs="Arial" w:hint="eastAsia"/>
          <w:b/>
          <w:sz w:val="16"/>
          <w:szCs w:val="16"/>
        </w:rPr>
        <w:t>i</w:t>
      </w:r>
      <w:proofErr w:type="spellEnd"/>
      <w:r>
        <w:rPr>
          <w:rFonts w:ascii="Arial" w:hAnsi="Arial" w:cs="Arial" w:hint="eastAsia"/>
          <w:b/>
          <w:sz w:val="16"/>
          <w:szCs w:val="16"/>
        </w:rPr>
        <w:t xml:space="preserve">) </w:t>
      </w:r>
      <w:r>
        <w:rPr>
          <w:rFonts w:ascii="Arial" w:hAnsi="Arial" w:cs="Arial" w:hint="eastAsia"/>
          <w:b/>
          <w:sz w:val="16"/>
          <w:szCs w:val="16"/>
        </w:rPr>
        <w:t>以任何方式制作任何形式的拷贝、复印件或复制品，或</w:t>
      </w:r>
      <w:r>
        <w:rPr>
          <w:rFonts w:ascii="Arial" w:hAnsi="Arial" w:cs="Arial" w:hint="eastAsia"/>
          <w:b/>
          <w:sz w:val="16"/>
          <w:szCs w:val="16"/>
        </w:rPr>
        <w:t xml:space="preserve"> (ii) </w:t>
      </w:r>
      <w:r>
        <w:rPr>
          <w:rFonts w:ascii="Arial" w:hAnsi="Arial" w:cs="Arial" w:hint="eastAsia"/>
          <w:b/>
          <w:sz w:val="16"/>
          <w:szCs w:val="16"/>
        </w:rPr>
        <w:t>再次分发。</w:t>
      </w:r>
    </w:p>
    <w:p w14:paraId="18091565" w14:textId="77777777" w:rsidR="00833716" w:rsidRDefault="00833716">
      <w:pPr>
        <w:spacing w:after="0" w:line="240" w:lineRule="auto"/>
        <w:ind w:left="-2794" w:right="-187"/>
        <w:jc w:val="both"/>
        <w:rPr>
          <w:rFonts w:ascii="Arial" w:hAnsi="Arial" w:cs="Arial"/>
          <w:sz w:val="16"/>
          <w:szCs w:val="16"/>
        </w:rPr>
      </w:pPr>
    </w:p>
    <w:p w14:paraId="2F867F43" w14:textId="77777777" w:rsidR="00833716" w:rsidRDefault="00343CE3">
      <w:pPr>
        <w:spacing w:after="0" w:line="240" w:lineRule="auto"/>
        <w:ind w:left="-2794" w:right="-187"/>
        <w:jc w:val="both"/>
        <w:rPr>
          <w:rFonts w:ascii="Arial" w:hAnsi="Arial" w:cs="Arial"/>
          <w:sz w:val="16"/>
          <w:szCs w:val="16"/>
        </w:rPr>
      </w:pPr>
      <w:r>
        <w:rPr>
          <w:rFonts w:ascii="Arial" w:hAnsi="Arial" w:cs="Arial" w:hint="eastAsia"/>
          <w:sz w:val="16"/>
          <w:szCs w:val="16"/>
        </w:rPr>
        <w:t>香港德辅道中</w:t>
      </w:r>
      <w:r>
        <w:rPr>
          <w:rFonts w:ascii="Arial" w:hAnsi="Arial" w:cs="Arial" w:hint="eastAsia"/>
          <w:sz w:val="16"/>
          <w:szCs w:val="16"/>
        </w:rPr>
        <w:t>189</w:t>
      </w:r>
      <w:r>
        <w:rPr>
          <w:rFonts w:ascii="Arial" w:hAnsi="Arial" w:cs="Arial" w:hint="eastAsia"/>
          <w:sz w:val="16"/>
          <w:szCs w:val="16"/>
        </w:rPr>
        <w:t>号李宝椿大厦</w:t>
      </w:r>
      <w:r>
        <w:rPr>
          <w:rFonts w:ascii="Arial" w:hAnsi="Arial" w:cs="Arial" w:hint="eastAsia"/>
          <w:sz w:val="16"/>
          <w:szCs w:val="16"/>
        </w:rPr>
        <w:t>29-30</w:t>
      </w:r>
      <w:r>
        <w:rPr>
          <w:rFonts w:ascii="Arial" w:hAnsi="Arial" w:cs="Arial" w:hint="eastAsia"/>
          <w:sz w:val="16"/>
          <w:szCs w:val="16"/>
        </w:rPr>
        <w:t>楼</w:t>
      </w:r>
    </w:p>
    <w:p w14:paraId="55CCF053" w14:textId="77777777" w:rsidR="00833716" w:rsidRDefault="00343CE3">
      <w:pPr>
        <w:spacing w:after="0" w:line="240" w:lineRule="auto"/>
        <w:ind w:left="-2794" w:right="-187"/>
        <w:jc w:val="both"/>
        <w:rPr>
          <w:rFonts w:ascii="Arial" w:hAnsi="Arial" w:cs="Arial"/>
          <w:sz w:val="16"/>
          <w:szCs w:val="16"/>
        </w:rPr>
      </w:pPr>
      <w:r>
        <w:rPr>
          <w:rFonts w:ascii="Arial" w:hAnsi="Arial" w:cs="Arial" w:hint="eastAsia"/>
          <w:sz w:val="16"/>
          <w:szCs w:val="16"/>
        </w:rPr>
        <w:t>电话</w:t>
      </w:r>
      <w:r>
        <w:rPr>
          <w:rFonts w:ascii="Arial" w:hAnsi="Arial" w:cs="Arial"/>
          <w:sz w:val="16"/>
          <w:szCs w:val="16"/>
        </w:rPr>
        <w:t xml:space="preserve">: +852 3719 1111   Fax: +852 2907 6176   </w:t>
      </w:r>
      <w:r>
        <w:rPr>
          <w:rFonts w:ascii="Arial" w:hAnsi="Arial" w:cs="Arial" w:hint="eastAsia"/>
          <w:sz w:val="16"/>
          <w:szCs w:val="16"/>
        </w:rPr>
        <w:t>网站</w:t>
      </w:r>
      <w:r>
        <w:rPr>
          <w:rFonts w:ascii="Arial" w:hAnsi="Arial" w:cs="Arial"/>
          <w:sz w:val="16"/>
          <w:szCs w:val="16"/>
        </w:rPr>
        <w:t xml:space="preserve">: </w:t>
      </w:r>
      <w:hyperlink r:id="rId24" w:history="1">
        <w:r>
          <w:rPr>
            <w:rStyle w:val="Hyperlink"/>
            <w:rFonts w:ascii="Arial" w:hAnsi="Arial" w:cs="Arial"/>
            <w:sz w:val="16"/>
            <w:szCs w:val="16"/>
          </w:rPr>
          <w:t>http://www.gfgroup.com.hk</w:t>
        </w:r>
      </w:hyperlink>
    </w:p>
    <w:p w14:paraId="322C88D4" w14:textId="77777777" w:rsidR="00833716" w:rsidRDefault="00833716">
      <w:pPr>
        <w:spacing w:after="0" w:line="240" w:lineRule="auto"/>
        <w:ind w:left="-2794" w:right="-187"/>
        <w:jc w:val="both"/>
        <w:rPr>
          <w:rFonts w:ascii="Arial" w:hAnsi="Arial" w:cs="Arial"/>
          <w:sz w:val="16"/>
          <w:szCs w:val="16"/>
        </w:rPr>
      </w:pPr>
    </w:p>
    <w:p w14:paraId="7189FD56" w14:textId="77777777" w:rsidR="00833716" w:rsidRDefault="00833716">
      <w:pPr>
        <w:spacing w:after="0" w:line="240" w:lineRule="auto"/>
        <w:ind w:left="-2794" w:right="-187"/>
        <w:jc w:val="both"/>
        <w:rPr>
          <w:rFonts w:ascii="Arial" w:hAnsi="Arial" w:cs="Arial"/>
          <w:sz w:val="16"/>
          <w:szCs w:val="16"/>
        </w:rPr>
      </w:pPr>
    </w:p>
    <w:p w14:paraId="55C8C1A7" w14:textId="77777777" w:rsidR="00833716" w:rsidRDefault="00833716">
      <w:pPr>
        <w:spacing w:after="0" w:line="240" w:lineRule="auto"/>
        <w:ind w:left="-2794" w:right="-187"/>
        <w:rPr>
          <w:rFonts w:cs="Times New Roman"/>
          <w:sz w:val="16"/>
          <w:szCs w:val="16"/>
        </w:rPr>
      </w:pPr>
    </w:p>
    <w:sectPr w:rsidR="00833716" w:rsidSect="001F474D">
      <w:headerReference w:type="default" r:id="rId25"/>
      <w:footerReference w:type="default" r:id="rId26"/>
      <w:pgSz w:w="12240" w:h="15840"/>
      <w:pgMar w:top="1397" w:right="907" w:bottom="763" w:left="3514" w:header="0" w:footer="8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76EDD" w14:textId="77777777" w:rsidR="000C5030" w:rsidRDefault="000C5030">
      <w:pPr>
        <w:spacing w:after="0" w:line="240" w:lineRule="auto"/>
      </w:pPr>
      <w:r>
        <w:separator/>
      </w:r>
    </w:p>
  </w:endnote>
  <w:endnote w:type="continuationSeparator" w:id="0">
    <w:p w14:paraId="1A73FC7B" w14:textId="77777777" w:rsidR="000C5030" w:rsidRDefault="000C5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KaiTi_GB2312">
    <w:altName w:val="微软雅黑"/>
    <w:panose1 w:val="020B0604020202020204"/>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6"/>
    <w:family w:val="swiss"/>
    <w:pitch w:val="variable"/>
    <w:sig w:usb0="F7FFAFFF" w:usb1="E9DFFFFF" w:usb2="0000003F" w:usb3="00000000" w:csb0="003F01FF" w:csb1="00000000"/>
  </w:font>
  <w:font w:name="宋体..閰繷.">
    <w:altName w:val="SimSu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D4DF6" w14:textId="32CEE32C" w:rsidR="0014147F" w:rsidRDefault="0014147F">
    <w:pPr>
      <w:pStyle w:val="Footer"/>
      <w:tabs>
        <w:tab w:val="clear" w:pos="9360"/>
        <w:tab w:val="right" w:pos="9270"/>
      </w:tabs>
      <w:ind w:left="-3168" w:right="-288"/>
      <w:jc w:val="right"/>
      <w:rPr>
        <w:szCs w:val="18"/>
      </w:rPr>
    </w:pPr>
    <w:r>
      <w:rPr>
        <w:color w:val="FFFFFF" w:themeColor="background1"/>
        <w:szCs w:val="18"/>
      </w:rPr>
      <w:t xml:space="preserve">Page </w:t>
    </w:r>
    <w:sdt>
      <w:sdtPr>
        <w:rPr>
          <w:color w:val="FFFFFF" w:themeColor="background1"/>
          <w:szCs w:val="18"/>
        </w:rPr>
        <w:id w:val="-272555666"/>
      </w:sdtPr>
      <w:sdtContent>
        <w:r>
          <w:rPr>
            <w:color w:val="FFFFFF" w:themeColor="background1"/>
            <w:szCs w:val="18"/>
          </w:rPr>
          <w:fldChar w:fldCharType="begin"/>
        </w:r>
        <w:r>
          <w:rPr>
            <w:color w:val="FFFFFF" w:themeColor="background1"/>
            <w:szCs w:val="18"/>
          </w:rPr>
          <w:instrText xml:space="preserve"> PAGE   \* MERGEFORMAT </w:instrText>
        </w:r>
        <w:r>
          <w:rPr>
            <w:color w:val="FFFFFF" w:themeColor="background1"/>
            <w:szCs w:val="18"/>
          </w:rPr>
          <w:fldChar w:fldCharType="separate"/>
        </w:r>
        <w:r>
          <w:rPr>
            <w:noProof/>
            <w:color w:val="FFFFFF" w:themeColor="background1"/>
            <w:szCs w:val="18"/>
          </w:rPr>
          <w:t>2</w:t>
        </w:r>
        <w:r>
          <w:rPr>
            <w:color w:val="FFFFFF" w:themeColor="background1"/>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59315" w14:textId="6B025FF1" w:rsidR="0014147F" w:rsidRDefault="0014147F">
    <w:pPr>
      <w:pStyle w:val="Footer"/>
      <w:tabs>
        <w:tab w:val="clear" w:pos="9360"/>
        <w:tab w:val="right" w:pos="9270"/>
      </w:tabs>
      <w:ind w:left="-3168" w:right="-288"/>
      <w:jc w:val="right"/>
      <w:rPr>
        <w:szCs w:val="18"/>
      </w:rPr>
    </w:pPr>
    <w:r>
      <w:rPr>
        <w:noProof/>
      </w:rPr>
      <mc:AlternateContent>
        <mc:Choice Requires="wps">
          <w:drawing>
            <wp:anchor distT="0" distB="0" distL="114300" distR="114300" simplePos="0" relativeHeight="251732992" behindDoc="1" locked="0" layoutInCell="1" allowOverlap="1" wp14:anchorId="3AAF56C1" wp14:editId="73A0060C">
              <wp:simplePos x="0" y="0"/>
              <wp:positionH relativeFrom="column">
                <wp:posOffset>-2231390</wp:posOffset>
              </wp:positionH>
              <wp:positionV relativeFrom="page">
                <wp:posOffset>9791700</wp:posOffset>
              </wp:positionV>
              <wp:extent cx="7772400" cy="266700"/>
              <wp:effectExtent l="0" t="0" r="0" b="0"/>
              <wp:wrapNone/>
              <wp:docPr id="20" name="Rectangle 20"/>
              <wp:cNvGraphicFramePr/>
              <a:graphic xmlns:a="http://schemas.openxmlformats.org/drawingml/2006/main">
                <a:graphicData uri="http://schemas.microsoft.com/office/word/2010/wordprocessingShape">
                  <wps:wsp>
                    <wps:cNvSpPr/>
                    <wps:spPr>
                      <a:xfrm>
                        <a:off x="0" y="0"/>
                        <a:ext cx="7772400" cy="266700"/>
                      </a:xfrm>
                      <a:prstGeom prst="rect">
                        <a:avLst/>
                      </a:prstGeom>
                      <a:solidFill>
                        <a:srgbClr val="DEDFE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736CB9" w14:textId="77777777" w:rsidR="0014147F" w:rsidRDefault="0014147F">
                          <w:pPr>
                            <w:ind w:right="422"/>
                            <w:jc w:val="right"/>
                            <w:rPr>
                              <w:b/>
                              <w:sz w:val="24"/>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AAF56C1" id="Rectangle 20" o:spid="_x0000_s1036" style="position:absolute;left:0;text-align:left;margin-left:-175.7pt;margin-top:771pt;width:612pt;height:21pt;z-index:-25158348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" fillcolor="#dedfef" stroked="f" strokeweight="1pt">
              <v:textbox>
                <w:txbxContent>
                  <w:p w14:paraId="0F736CB9" w14:textId="77777777" w:rsidR="0014147F" w:rsidRDefault="0014147F">
                    <w:pPr>
                      <w:ind w:right="422"/>
                      <w:jc w:val="right"/>
                      <w:rPr>
                        <w:b/>
                        <w:sz w:val="24"/>
                      </w:rPr>
                    </w:pPr>
                  </w:p>
                </w:txbxContent>
              </v:textbox>
              <w10:wrap anchory="page"/>
            </v:rect>
          </w:pict>
        </mc:Fallback>
      </mc:AlternateContent>
    </w:r>
    <w:sdt>
      <w:sdtPr>
        <w:rPr>
          <w:color w:val="FFFFFF" w:themeColor="background1"/>
          <w:szCs w:val="18"/>
        </w:rPr>
        <w:id w:val="972864893"/>
      </w:sdtPr>
      <w:sdtContent>
        <w:r>
          <w:rPr>
            <w:color w:val="FFFFFF" w:themeColor="background1"/>
            <w:szCs w:val="18"/>
          </w:rPr>
          <w:fldChar w:fldCharType="begin"/>
        </w:r>
        <w:r>
          <w:rPr>
            <w:color w:val="FFFFFF" w:themeColor="background1"/>
            <w:szCs w:val="18"/>
          </w:rPr>
          <w:instrText xml:space="preserve"> PAGE   \* MERGEFORMAT </w:instrText>
        </w:r>
        <w:r>
          <w:rPr>
            <w:color w:val="FFFFFF" w:themeColor="background1"/>
            <w:szCs w:val="18"/>
          </w:rPr>
          <w:fldChar w:fldCharType="separate"/>
        </w:r>
        <w:r w:rsidR="00116763">
          <w:rPr>
            <w:noProof/>
            <w:color w:val="FFFFFF" w:themeColor="background1"/>
            <w:szCs w:val="18"/>
          </w:rPr>
          <w:t>4</w:t>
        </w:r>
        <w:r>
          <w:rPr>
            <w:color w:val="FFFFFF" w:themeColor="background1"/>
            <w:szCs w:val="18"/>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EA375" w14:textId="77777777" w:rsidR="000C5030" w:rsidRDefault="000C5030">
      <w:pPr>
        <w:spacing w:after="0" w:line="240" w:lineRule="auto"/>
      </w:pPr>
      <w:r>
        <w:separator/>
      </w:r>
    </w:p>
  </w:footnote>
  <w:footnote w:type="continuationSeparator" w:id="0">
    <w:p w14:paraId="215E7761" w14:textId="77777777" w:rsidR="000C5030" w:rsidRDefault="000C5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6C360" w14:textId="77777777" w:rsidR="0014147F" w:rsidRDefault="0014147F">
    <w:pPr>
      <w:pStyle w:val="Header"/>
      <w:tabs>
        <w:tab w:val="clear" w:pos="9360"/>
        <w:tab w:val="right" w:pos="10080"/>
      </w:tabs>
      <w:ind w:right="-720"/>
      <w:rPr>
        <w:sz w:val="14"/>
        <w:szCs w:val="20"/>
      </w:rPr>
    </w:pPr>
    <w:r>
      <w:rPr>
        <w:noProof/>
      </w:rPr>
      <mc:AlternateContent>
        <mc:Choice Requires="wps">
          <w:drawing>
            <wp:anchor distT="45720" distB="45720" distL="114300" distR="114300" simplePos="0" relativeHeight="251698176" behindDoc="0" locked="0" layoutInCell="1" allowOverlap="1" wp14:anchorId="3B3AE805" wp14:editId="5DE3CF4C">
              <wp:simplePos x="0" y="0"/>
              <wp:positionH relativeFrom="column">
                <wp:posOffset>-734060</wp:posOffset>
              </wp:positionH>
              <wp:positionV relativeFrom="paragraph">
                <wp:posOffset>181610</wp:posOffset>
              </wp:positionV>
              <wp:extent cx="478790" cy="358775"/>
              <wp:effectExtent l="0" t="0" r="0" b="3175"/>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358775"/>
                      </a:xfrm>
                      <a:prstGeom prst="rect">
                        <a:avLst/>
                      </a:prstGeom>
                      <a:solidFill>
                        <a:srgbClr val="0F4D92"/>
                      </a:solidFill>
                      <a:ln w="9525">
                        <a:noFill/>
                        <a:miter lim="800000"/>
                      </a:ln>
                    </wps:spPr>
                    <wps:txbx>
                      <w:txbxContent>
                        <w:p w14:paraId="439F9767" w14:textId="77777777" w:rsidR="0014147F" w:rsidRDefault="0014147F">
                          <w:r>
                            <w:rPr>
                              <w:noProof/>
                            </w:rPr>
                            <w:drawing>
                              <wp:inline distT="0" distB="0" distL="0" distR="0" wp14:anchorId="08FED82F" wp14:editId="33B830EE">
                                <wp:extent cx="279400" cy="258445"/>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79400" cy="25844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type w14:anchorId="3B3AE805" id="_x0000_t202" coordsize="21600,21600" o:spt="202" path="m,l,21600r21600,l21600,xe">
              <v:stroke joinstyle="miter"/>
              <v:path gradientshapeok="t" o:connecttype="rect"/>
            </v:shapetype>
            <v:shape id="Text Box 2" o:spid="_x0000_s1027" type="#_x0000_t202" style="position:absolute;margin-left:-57.8pt;margin-top:14.3pt;width:37.7pt;height:28.25pt;z-index:25169817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" fillcolor="#0f4d92" stroked="f">
              <v:textbox>
                <w:txbxContent>
                  <w:p w14:paraId="439F9767" w14:textId="77777777" w:rsidR="0014147F" w:rsidRDefault="0014147F">
                    <w:r>
                      <w:rPr>
                        <w:noProof/>
                      </w:rPr>
                      <w:drawing>
                        <wp:inline distT="0" distB="0" distL="0" distR="0" wp14:anchorId="08FED82F" wp14:editId="33B830EE">
                          <wp:extent cx="279400" cy="258445"/>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79400" cy="258445"/>
                                  </a:xfrm>
                                  <a:prstGeom prst="rect">
                                    <a:avLst/>
                                  </a:prstGeom>
                                </pic:spPr>
                              </pic:pic>
                            </a:graphicData>
                          </a:graphic>
                        </wp:inline>
                      </w:drawing>
                    </w:r>
                  </w:p>
                </w:txbxContent>
              </v:textbox>
              <w10:wrap type="square"/>
            </v:shape>
          </w:pict>
        </mc:Fallback>
      </mc:AlternateContent>
    </w:r>
  </w:p>
  <w:p w14:paraId="5E022146" w14:textId="77777777" w:rsidR="0014147F" w:rsidRDefault="0014147F">
    <w:pPr>
      <w:pStyle w:val="Header"/>
      <w:tabs>
        <w:tab w:val="clear" w:pos="9360"/>
        <w:tab w:val="right" w:pos="10080"/>
      </w:tabs>
      <w:ind w:right="-720"/>
      <w:rPr>
        <w:sz w:val="14"/>
        <w:szCs w:val="20"/>
      </w:rPr>
    </w:pPr>
    <w:r>
      <w:rPr>
        <w:noProof/>
      </w:rPr>
      <mc:AlternateContent>
        <mc:Choice Requires="wps">
          <w:drawing>
            <wp:anchor distT="0" distB="0" distL="114300" distR="114300" simplePos="0" relativeHeight="251641856" behindDoc="1" locked="0" layoutInCell="1" allowOverlap="1" wp14:anchorId="07947B64" wp14:editId="664E6A91">
              <wp:simplePos x="0" y="0"/>
              <wp:positionH relativeFrom="column">
                <wp:posOffset>-914400</wp:posOffset>
              </wp:positionH>
              <wp:positionV relativeFrom="page">
                <wp:posOffset>0</wp:posOffset>
              </wp:positionV>
              <wp:extent cx="7772400" cy="567055"/>
              <wp:effectExtent l="0" t="0" r="0" b="5080"/>
              <wp:wrapNone/>
              <wp:docPr id="9" name="Rectangle 9"/>
              <wp:cNvGraphicFramePr/>
              <a:graphic xmlns:a="http://schemas.openxmlformats.org/drawingml/2006/main">
                <a:graphicData uri="http://schemas.microsoft.com/office/word/2010/wordprocessingShape">
                  <wps:wsp>
                    <wps:cNvSpPr/>
                    <wps:spPr>
                      <a:xfrm>
                        <a:off x="0" y="0"/>
                        <a:ext cx="7772400" cy="566928"/>
                      </a:xfrm>
                      <a:prstGeom prst="rect">
                        <a:avLst/>
                      </a:prstGeom>
                      <a:solidFill>
                        <a:srgbClr val="0F4D9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9" o:spid="_x0000_s1026" o:spt="1" style="position:absolute;left:0pt;margin-left:-72pt;margin-top:0pt;height:44.65pt;width:612pt;mso-position-vertical-relative:page;z-index:-251674624;v-text-anchor:middle;mso-width-relative:page;mso-height-relative:page;" fillcolor="#0F4D92" filled="t" stroked="f" coordsize="21600,21600" o:gfxdata="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FgAAAGRycy9QSwECFAAUAAAACACHTuJA7GTuD9QA&#10;AAAJAQAADwAAAAAAAAABACAAAAA4AAAAZHJzL2Rvd25yZXYueG1sUEsBAhQAFAAAAAgAh07iQL9L&#10;gEhGAgAAgAQAAA4AAAAAAAAAAQAgAAAAOQEAAGRycy9lMm9Eb2MueG1sUEsFBgAAAAAGAAYAWQEA&#10;APEFAAAAAA==&#10;">
              <v:fill on="t" focussize="0,0"/>
              <v:stroke on="f" weight="1pt" miterlimit="8" joinstyle="miter"/>
              <v:imagedata o:title=""/>
              <o:lock v:ext="edit" aspectratio="f"/>
            </v:rect>
          </w:pict>
        </mc:Fallback>
      </mc:AlternateContent>
    </w:r>
  </w:p>
  <w:p w14:paraId="12C36DBF" w14:textId="77777777" w:rsidR="0014147F" w:rsidRDefault="0014147F">
    <w:pPr>
      <w:pStyle w:val="Header"/>
      <w:tabs>
        <w:tab w:val="clear" w:pos="9360"/>
        <w:tab w:val="right" w:pos="10080"/>
      </w:tabs>
      <w:ind w:right="-936"/>
      <w:jc w:val="right"/>
      <w:rPr>
        <w:b/>
        <w:sz w:val="16"/>
        <w:szCs w:val="20"/>
      </w:rPr>
    </w:pPr>
    <w:r>
      <w:rPr>
        <w:noProof/>
        <w:sz w:val="14"/>
        <w:szCs w:val="20"/>
      </w:rPr>
      <mc:AlternateContent>
        <mc:Choice Requires="wps">
          <w:drawing>
            <wp:anchor distT="45720" distB="45720" distL="114300" distR="114300" simplePos="0" relativeHeight="251700224" behindDoc="0" locked="0" layoutInCell="1" allowOverlap="1" wp14:anchorId="695B2234" wp14:editId="683C0373">
              <wp:simplePos x="0" y="0"/>
              <wp:positionH relativeFrom="column">
                <wp:posOffset>-419735</wp:posOffset>
              </wp:positionH>
              <wp:positionV relativeFrom="page">
                <wp:posOffset>306705</wp:posOffset>
              </wp:positionV>
              <wp:extent cx="1343660" cy="24638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660" cy="246380"/>
                      </a:xfrm>
                      <a:prstGeom prst="rect">
                        <a:avLst/>
                      </a:prstGeom>
                      <a:noFill/>
                      <a:ln w="9525">
                        <a:noFill/>
                        <a:miter lim="800000"/>
                      </a:ln>
                    </wps:spPr>
                    <wps:txbx>
                      <w:txbxContent>
                        <w:p w14:paraId="3D62EDF9" w14:textId="77777777" w:rsidR="0014147F" w:rsidRDefault="0014147F">
                          <w:pPr>
                            <w:rPr>
                              <w:color w:val="FFFFFF" w:themeColor="background1"/>
                              <w:sz w:val="16"/>
                              <w:szCs w:val="20"/>
                            </w:rPr>
                          </w:pPr>
                        </w:p>
                      </w:txbxContent>
                    </wps:txbx>
                    <wps:bodyPr rot="0" vert="horz" wrap="square" lIns="91440" tIns="45720" rIns="91440" bIns="45720" anchor="t" anchorCtr="0">
                      <a:noAutofit/>
                    </wps:bodyPr>
                  </wps:wsp>
                </a:graphicData>
              </a:graphic>
            </wp:anchor>
          </w:drawing>
        </mc:Choice>
        <mc:Fallback>
          <w:pict>
            <v:shape w14:anchorId="695B2234" id="_x0000_s1028" type="#_x0000_t202" style="position:absolute;left:0;text-align:left;margin-left:-33.05pt;margin-top:24.15pt;width:105.8pt;height:19.4pt;z-index:251700224;visibility:visible;mso-wrap-style:square;mso-wrap-distance-left:9pt;mso-wrap-distance-top:3.6pt;mso-wrap-distance-right:9pt;mso-wrap-distance-bottom:3.6pt;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" filled="f" stroked="f">
              <v:textbox>
                <w:txbxContent>
                  <w:p w14:paraId="3D62EDF9" w14:textId="77777777" w:rsidR="0014147F" w:rsidRDefault="0014147F">
                    <w:pPr>
                      <w:rPr>
                        <w:color w:val="FFFFFF" w:themeColor="background1"/>
                        <w:sz w:val="16"/>
                        <w:szCs w:val="20"/>
                      </w:rPr>
                    </w:pPr>
                  </w:p>
                </w:txbxContent>
              </v:textbox>
              <w10:wrap type="square" anchory="page"/>
            </v:shape>
          </w:pict>
        </mc:Fallback>
      </mc:AlternateContent>
    </w:r>
  </w:p>
  <w:p w14:paraId="6E5600C4" w14:textId="77777777" w:rsidR="0014147F" w:rsidRDefault="0014147F">
    <w:pPr>
      <w:pStyle w:val="Header"/>
      <w:tabs>
        <w:tab w:val="clear" w:pos="9360"/>
        <w:tab w:val="right" w:pos="9900"/>
      </w:tabs>
      <w:ind w:left="-540" w:right="-810"/>
      <w:jc w:val="right"/>
      <w:rPr>
        <w:color w:val="FFFFFF" w:themeColor="background1"/>
        <w:szCs w:val="20"/>
      </w:rPr>
    </w:pPr>
    <w:r>
      <w:rPr>
        <w:color w:val="FFFFFF" w:themeColor="background1"/>
        <w:sz w:val="16"/>
        <w:szCs w:val="20"/>
      </w:rPr>
      <w:t>2022</w:t>
    </w:r>
    <w:r>
      <w:rPr>
        <w:rFonts w:hint="eastAsia"/>
        <w:color w:val="FFFFFF" w:themeColor="background1"/>
        <w:sz w:val="16"/>
        <w:szCs w:val="20"/>
      </w:rPr>
      <w:t>年</w:t>
    </w:r>
    <w:r>
      <w:rPr>
        <w:color w:val="FFFFFF" w:themeColor="background1"/>
        <w:sz w:val="16"/>
        <w:szCs w:val="20"/>
      </w:rPr>
      <w:t>12</w:t>
    </w:r>
    <w:r>
      <w:rPr>
        <w:rFonts w:hint="eastAsia"/>
        <w:color w:val="FFFFFF" w:themeColor="background1"/>
        <w:sz w:val="16"/>
        <w:szCs w:val="20"/>
      </w:rPr>
      <w:t>月</w:t>
    </w:r>
    <w:r>
      <w:rPr>
        <w:color w:val="FFFFFF" w:themeColor="background1"/>
        <w:sz w:val="16"/>
        <w:szCs w:val="20"/>
      </w:rPr>
      <w:t>22</w:t>
    </w:r>
    <w:r>
      <w:rPr>
        <w:rFonts w:hint="eastAsia"/>
        <w:color w:val="FFFFFF" w:themeColor="background1"/>
        <w:sz w:val="16"/>
        <w:szCs w:val="20"/>
      </w:rPr>
      <w:t>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3CAD7" w14:textId="77777777" w:rsidR="0014147F" w:rsidRDefault="0014147F">
    <w:pPr>
      <w:pStyle w:val="Header"/>
    </w:pPr>
    <w:r>
      <w:rPr>
        <w:noProof/>
      </w:rPr>
      <mc:AlternateContent>
        <mc:Choice Requires="wps">
          <w:drawing>
            <wp:anchor distT="0" distB="0" distL="114300" distR="114300" simplePos="0" relativeHeight="251695104" behindDoc="0" locked="0" layoutInCell="1" allowOverlap="1" wp14:anchorId="615D3575" wp14:editId="4FD8ABCF">
              <wp:simplePos x="0" y="0"/>
              <wp:positionH relativeFrom="column">
                <wp:posOffset>5111750</wp:posOffset>
              </wp:positionH>
              <wp:positionV relativeFrom="paragraph">
                <wp:posOffset>1041400</wp:posOffset>
              </wp:positionV>
              <wp:extent cx="1383030" cy="24638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1383030" cy="24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328C47" w14:textId="0F8FF8DD" w:rsidR="0014147F" w:rsidRDefault="0014147F">
                          <w:pPr>
                            <w:jc w:val="right"/>
                            <w:rPr>
                              <w:color w:val="0F4D92"/>
                              <w:szCs w:val="18"/>
                            </w:rPr>
                          </w:pPr>
                          <w:r>
                            <w:rPr>
                              <w:color w:val="0F4D92"/>
                              <w:szCs w:val="18"/>
                            </w:rPr>
                            <w:t>2023</w:t>
                          </w:r>
                          <w:r>
                            <w:rPr>
                              <w:rFonts w:hint="eastAsia"/>
                              <w:color w:val="0F4D92"/>
                              <w:szCs w:val="18"/>
                            </w:rPr>
                            <w:t>年</w:t>
                          </w:r>
                          <w:r>
                            <w:rPr>
                              <w:color w:val="0F4D92"/>
                              <w:szCs w:val="18"/>
                            </w:rPr>
                            <w:t>4</w:t>
                          </w:r>
                          <w:r>
                            <w:rPr>
                              <w:rFonts w:hint="eastAsia"/>
                              <w:color w:val="0F4D92"/>
                              <w:szCs w:val="18"/>
                            </w:rPr>
                            <w:t>月</w:t>
                          </w:r>
                          <w:r w:rsidR="00171E09">
                            <w:rPr>
                              <w:color w:val="0F4D92"/>
                              <w:szCs w:val="18"/>
                            </w:rPr>
                            <w:t>21</w:t>
                          </w:r>
                          <w:r>
                            <w:rPr>
                              <w:rFonts w:hint="eastAsia"/>
                              <w:color w:val="0F4D92"/>
                              <w:szCs w:val="18"/>
                            </w:rPr>
                            <w:t>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15D3575" id="_x0000_t202" coordsize="21600,21600" o:spt="202" path="m,l,21600r21600,l21600,xe">
              <v:stroke joinstyle="miter"/>
              <v:path gradientshapeok="t" o:connecttype="rect"/>
            </v:shapetype>
            <v:shape id="Text Box 6" o:spid="_x0000_s1029" type="#_x0000_t202" style="position:absolute;margin-left:402.5pt;margin-top:82pt;width:108.9pt;height:19.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" filled="f" stroked="f" strokeweight=".5pt">
              <v:textbox>
                <w:txbxContent>
                  <w:p w14:paraId="7D328C47" w14:textId="0F8FF8DD" w:rsidR="0014147F" w:rsidRDefault="0014147F">
                    <w:pPr>
                      <w:jc w:val="right"/>
                      <w:rPr>
                        <w:color w:val="0F4D92"/>
                        <w:szCs w:val="18"/>
                      </w:rPr>
                    </w:pPr>
                    <w:r>
                      <w:rPr>
                        <w:color w:val="0F4D92"/>
                        <w:szCs w:val="18"/>
                      </w:rPr>
                      <w:t>2023</w:t>
                    </w:r>
                    <w:r>
                      <w:rPr>
                        <w:rFonts w:hint="eastAsia"/>
                        <w:color w:val="0F4D92"/>
                        <w:szCs w:val="18"/>
                      </w:rPr>
                      <w:t>年</w:t>
                    </w:r>
                    <w:r>
                      <w:rPr>
                        <w:color w:val="0F4D92"/>
                        <w:szCs w:val="18"/>
                      </w:rPr>
                      <w:t>4</w:t>
                    </w:r>
                    <w:r>
                      <w:rPr>
                        <w:rFonts w:hint="eastAsia"/>
                        <w:color w:val="0F4D92"/>
                        <w:szCs w:val="18"/>
                      </w:rPr>
                      <w:t>月</w:t>
                    </w:r>
                    <w:r w:rsidR="00171E09">
                      <w:rPr>
                        <w:color w:val="0F4D92"/>
                        <w:szCs w:val="18"/>
                      </w:rPr>
                      <w:t>21</w:t>
                    </w:r>
                    <w:r>
                      <w:rPr>
                        <w:rFonts w:hint="eastAsia"/>
                        <w:color w:val="0F4D92"/>
                        <w:szCs w:val="18"/>
                      </w:rPr>
                      <w:t>日</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46440A07" wp14:editId="3B41829D">
              <wp:simplePos x="0" y="0"/>
              <wp:positionH relativeFrom="column">
                <wp:posOffset>-667385</wp:posOffset>
              </wp:positionH>
              <wp:positionV relativeFrom="paragraph">
                <wp:posOffset>1043305</wp:posOffset>
              </wp:positionV>
              <wp:extent cx="2799080" cy="247015"/>
              <wp:effectExtent l="0" t="0" r="0" b="1270"/>
              <wp:wrapNone/>
              <wp:docPr id="8" name="Text Box 8"/>
              <wp:cNvGraphicFramePr/>
              <a:graphic xmlns:a="http://schemas.openxmlformats.org/drawingml/2006/main">
                <a:graphicData uri="http://schemas.microsoft.com/office/word/2010/wordprocessingShape">
                  <wps:wsp>
                    <wps:cNvSpPr txBox="1"/>
                    <wps:spPr>
                      <a:xfrm>
                        <a:off x="0" y="0"/>
                        <a:ext cx="2799298" cy="2468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5EC2A" w14:textId="77777777" w:rsidR="0014147F" w:rsidRDefault="0014147F">
                          <w:pPr>
                            <w:rPr>
                              <w:rFonts w:ascii="Arial" w:hAnsi="Arial" w:cs="Arial"/>
                              <w:b/>
                              <w:color w:val="0F4D92"/>
                              <w:kern w:val="24"/>
                              <w:szCs w:val="40"/>
                            </w:rPr>
                          </w:pPr>
                          <w:r>
                            <w:rPr>
                              <w:rFonts w:ascii="Arial" w:hAnsi="Arial" w:cs="Arial" w:hint="eastAsia"/>
                              <w:b/>
                              <w:color w:val="0F4D92"/>
                              <w:kern w:val="24"/>
                              <w:szCs w:val="40"/>
                            </w:rPr>
                            <w:t>股票</w:t>
                          </w:r>
                          <w:r>
                            <w:rPr>
                              <w:rFonts w:ascii="Arial" w:hAnsi="Arial" w:cs="Arial"/>
                              <w:b/>
                              <w:color w:val="0F4D92"/>
                              <w:kern w:val="24"/>
                              <w:szCs w:val="40"/>
                            </w:rPr>
                            <w:t xml:space="preserve"> | </w:t>
                          </w:r>
                          <w:r>
                            <w:rPr>
                              <w:rFonts w:ascii="Arial" w:hAnsi="Arial" w:cs="Arial" w:hint="eastAsia"/>
                              <w:b/>
                              <w:color w:val="0F4D92"/>
                              <w:kern w:val="24"/>
                              <w:szCs w:val="40"/>
                            </w:rPr>
                            <w:t>T</w:t>
                          </w:r>
                          <w:r>
                            <w:rPr>
                              <w:rFonts w:ascii="Arial" w:hAnsi="Arial" w:cs="Arial"/>
                              <w:b/>
                              <w:color w:val="0F4D92"/>
                              <w:kern w:val="24"/>
                              <w:szCs w:val="40"/>
                            </w:rPr>
                            <w:t>MT</w:t>
                          </w:r>
                        </w:p>
                        <w:p w14:paraId="2371B39E" w14:textId="77777777" w:rsidR="0014147F" w:rsidRDefault="0014147F">
                          <w:pPr>
                            <w:rPr>
                              <w:color w:val="0F4D92"/>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6440A07" id="Text Box 8" o:spid="_x0000_s1030" type="#_x0000_t202" style="position:absolute;margin-left:-52.55pt;margin-top:82.15pt;width:220.4pt;height:19.4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" filled="f" stroked="f" strokeweight=".5pt">
              <v:textbox>
                <w:txbxContent>
                  <w:p w14:paraId="06F5EC2A" w14:textId="77777777" w:rsidR="0014147F" w:rsidRDefault="0014147F">
                    <w:pPr>
                      <w:rPr>
                        <w:rFonts w:ascii="Arial" w:hAnsi="Arial" w:cs="Arial"/>
                        <w:b/>
                        <w:color w:val="0F4D92"/>
                        <w:kern w:val="24"/>
                        <w:szCs w:val="40"/>
                      </w:rPr>
                    </w:pPr>
                    <w:r>
                      <w:rPr>
                        <w:rFonts w:ascii="Arial" w:hAnsi="Arial" w:cs="Arial" w:hint="eastAsia"/>
                        <w:b/>
                        <w:color w:val="0F4D92"/>
                        <w:kern w:val="24"/>
                        <w:szCs w:val="40"/>
                      </w:rPr>
                      <w:t>股票</w:t>
                    </w:r>
                    <w:r>
                      <w:rPr>
                        <w:rFonts w:ascii="Arial" w:hAnsi="Arial" w:cs="Arial"/>
                        <w:b/>
                        <w:color w:val="0F4D92"/>
                        <w:kern w:val="24"/>
                        <w:szCs w:val="40"/>
                      </w:rPr>
                      <w:t xml:space="preserve"> | </w:t>
                    </w:r>
                    <w:r>
                      <w:rPr>
                        <w:rFonts w:ascii="Arial" w:hAnsi="Arial" w:cs="Arial" w:hint="eastAsia"/>
                        <w:b/>
                        <w:color w:val="0F4D92"/>
                        <w:kern w:val="24"/>
                        <w:szCs w:val="40"/>
                      </w:rPr>
                      <w:t>T</w:t>
                    </w:r>
                    <w:r>
                      <w:rPr>
                        <w:rFonts w:ascii="Arial" w:hAnsi="Arial" w:cs="Arial"/>
                        <w:b/>
                        <w:color w:val="0F4D92"/>
                        <w:kern w:val="24"/>
                        <w:szCs w:val="40"/>
                      </w:rPr>
                      <w:t>MT</w:t>
                    </w:r>
                  </w:p>
                  <w:p w14:paraId="2371B39E" w14:textId="77777777" w:rsidR="0014147F" w:rsidRDefault="0014147F">
                    <w:pPr>
                      <w:rPr>
                        <w:color w:val="0F4D92"/>
                        <w:szCs w:val="18"/>
                      </w:rPr>
                    </w:pP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B3C933B" wp14:editId="3DE9223D">
              <wp:simplePos x="0" y="0"/>
              <wp:positionH relativeFrom="column">
                <wp:posOffset>-914400</wp:posOffset>
              </wp:positionH>
              <wp:positionV relativeFrom="paragraph">
                <wp:posOffset>1302385</wp:posOffset>
              </wp:positionV>
              <wp:extent cx="7772400" cy="560705"/>
              <wp:effectExtent l="0" t="0" r="0" b="0"/>
              <wp:wrapNone/>
              <wp:docPr id="5" name="Rectangle 4"/>
              <wp:cNvGraphicFramePr/>
              <a:graphic xmlns:a="http://schemas.openxmlformats.org/drawingml/2006/main">
                <a:graphicData uri="http://schemas.microsoft.com/office/word/2010/wordprocessingShape">
                  <wps:wsp>
                    <wps:cNvSpPr/>
                    <wps:spPr>
                      <a:xfrm>
                        <a:off x="0" y="0"/>
                        <a:ext cx="7772400" cy="560717"/>
                      </a:xfrm>
                      <a:prstGeom prst="rect">
                        <a:avLst/>
                      </a:prstGeom>
                      <a:solidFill>
                        <a:srgbClr val="0F4D9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1FAADF" w14:textId="76070CEE" w:rsidR="0014147F" w:rsidRDefault="0014147F">
                          <w:pPr>
                            <w:pStyle w:val="NormalWeb"/>
                            <w:spacing w:before="0" w:beforeAutospacing="0" w:after="0" w:afterAutospacing="0"/>
                            <w:jc w:val="center"/>
                            <w:rPr>
                              <w:rFonts w:asciiTheme="minorHAnsi" w:hAnsi="Calibri" w:cstheme="minorBidi"/>
                              <w:b/>
                              <w:bCs/>
                              <w:color w:val="FFFFFF" w:themeColor="light1"/>
                              <w:kern w:val="24"/>
                              <w:sz w:val="34"/>
                              <w:szCs w:val="64"/>
                            </w:rPr>
                          </w:pPr>
                          <w:r w:rsidRPr="00ED50E1">
                            <w:rPr>
                              <w:rFonts w:asciiTheme="minorHAnsi" w:hAnsiTheme="minorHAnsi" w:cstheme="minorHAnsi" w:hint="eastAsia"/>
                              <w:b/>
                              <w:bCs/>
                              <w:color w:val="FFFFFF" w:themeColor="light1"/>
                              <w:kern w:val="24"/>
                              <w:sz w:val="38"/>
                              <w:szCs w:val="38"/>
                            </w:rPr>
                            <w:t>中国移动（</w:t>
                          </w:r>
                          <w:r w:rsidRPr="00ED50E1">
                            <w:rPr>
                              <w:rFonts w:asciiTheme="minorHAnsi" w:hAnsiTheme="minorHAnsi" w:cstheme="minorHAnsi" w:hint="eastAsia"/>
                              <w:b/>
                              <w:bCs/>
                              <w:color w:val="FFFFFF" w:themeColor="light1"/>
                              <w:kern w:val="24"/>
                              <w:sz w:val="38"/>
                              <w:szCs w:val="38"/>
                            </w:rPr>
                            <w:t>941.HK</w:t>
                          </w:r>
                          <w:r w:rsidRPr="00ED50E1">
                            <w:rPr>
                              <w:rFonts w:asciiTheme="minorHAnsi" w:hAnsiTheme="minorHAnsi" w:cstheme="minorHAnsi" w:hint="eastAsia"/>
                              <w:b/>
                              <w:bCs/>
                              <w:color w:val="FFFFFF" w:themeColor="light1"/>
                              <w:kern w:val="24"/>
                              <w:sz w:val="38"/>
                              <w:szCs w:val="38"/>
                            </w:rPr>
                            <w:t>）：业绩</w:t>
                          </w:r>
                          <w:r>
                            <w:rPr>
                              <w:rFonts w:asciiTheme="minorHAnsi" w:hAnsiTheme="minorHAnsi" w:cstheme="minorHAnsi" w:hint="eastAsia"/>
                              <w:b/>
                              <w:bCs/>
                              <w:color w:val="FFFFFF" w:themeColor="light1"/>
                              <w:kern w:val="24"/>
                              <w:sz w:val="38"/>
                              <w:szCs w:val="38"/>
                            </w:rPr>
                            <w:t>保持</w:t>
                          </w:r>
                          <w:r w:rsidRPr="00ED50E1">
                            <w:rPr>
                              <w:rFonts w:asciiTheme="minorHAnsi" w:hAnsiTheme="minorHAnsi" w:cstheme="minorHAnsi" w:hint="eastAsia"/>
                              <w:b/>
                              <w:bCs/>
                              <w:color w:val="FFFFFF" w:themeColor="light1"/>
                              <w:kern w:val="24"/>
                              <w:sz w:val="38"/>
                              <w:szCs w:val="38"/>
                            </w:rPr>
                            <w:t>稳健增长，持续加大算力投资</w:t>
                          </w:r>
                        </w:p>
                      </w:txbxContent>
                    </wps:txbx>
                    <wps:bodyPr wrap="square" rtlCol="0" anchor="ctr">
                      <a:noAutofit/>
                    </wps:bodyPr>
                  </wps:wsp>
                </a:graphicData>
              </a:graphic>
            </wp:anchor>
          </w:drawing>
        </mc:Choice>
        <mc:Fallback>
          <w:pict>
            <v:rect w14:anchorId="5B3C933B" id="Rectangle 4" o:spid="_x0000_s1031" style="position:absolute;margin-left:-1in;margin-top:102.55pt;width:612pt;height:44.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" fillcolor="#0f4d92" stroked="f" strokeweight="1pt">
              <v:textbox>
                <w:txbxContent>
                  <w:p w14:paraId="331FAADF" w14:textId="76070CEE" w:rsidR="0014147F" w:rsidRDefault="0014147F">
                    <w:pPr>
                      <w:pStyle w:val="a9"/>
                      <w:spacing w:before="0" w:beforeAutospacing="0" w:after="0" w:afterAutospacing="0"/>
                      <w:jc w:val="center"/>
                      <w:rPr>
                        <w:rFonts w:asciiTheme="minorHAnsi" w:hAnsi="Calibri" w:cstheme="minorBidi"/>
                        <w:b/>
                        <w:bCs/>
                        <w:color w:val="FFFFFF" w:themeColor="light1"/>
                        <w:kern w:val="24"/>
                        <w:sz w:val="34"/>
                        <w:szCs w:val="64"/>
                      </w:rPr>
                    </w:pPr>
                    <w:r w:rsidRPr="00ED50E1">
                      <w:rPr>
                        <w:rFonts w:asciiTheme="minorHAnsi" w:hAnsiTheme="minorHAnsi" w:cstheme="minorHAnsi" w:hint="eastAsia"/>
                        <w:b/>
                        <w:bCs/>
                        <w:color w:val="FFFFFF" w:themeColor="light1"/>
                        <w:kern w:val="24"/>
                        <w:sz w:val="38"/>
                        <w:szCs w:val="38"/>
                      </w:rPr>
                      <w:t>中国移动（</w:t>
                    </w:r>
                    <w:r w:rsidRPr="00ED50E1">
                      <w:rPr>
                        <w:rFonts w:asciiTheme="minorHAnsi" w:hAnsiTheme="minorHAnsi" w:cstheme="minorHAnsi" w:hint="eastAsia"/>
                        <w:b/>
                        <w:bCs/>
                        <w:color w:val="FFFFFF" w:themeColor="light1"/>
                        <w:kern w:val="24"/>
                        <w:sz w:val="38"/>
                        <w:szCs w:val="38"/>
                      </w:rPr>
                      <w:t>941.HK</w:t>
                    </w:r>
                    <w:r w:rsidRPr="00ED50E1">
                      <w:rPr>
                        <w:rFonts w:asciiTheme="minorHAnsi" w:hAnsiTheme="minorHAnsi" w:cstheme="minorHAnsi" w:hint="eastAsia"/>
                        <w:b/>
                        <w:bCs/>
                        <w:color w:val="FFFFFF" w:themeColor="light1"/>
                        <w:kern w:val="24"/>
                        <w:sz w:val="38"/>
                        <w:szCs w:val="38"/>
                      </w:rPr>
                      <w:t>）：业绩</w:t>
                    </w:r>
                    <w:r>
                      <w:rPr>
                        <w:rFonts w:asciiTheme="minorHAnsi" w:hAnsiTheme="minorHAnsi" w:cstheme="minorHAnsi" w:hint="eastAsia"/>
                        <w:b/>
                        <w:bCs/>
                        <w:color w:val="FFFFFF" w:themeColor="light1"/>
                        <w:kern w:val="24"/>
                        <w:sz w:val="38"/>
                        <w:szCs w:val="38"/>
                      </w:rPr>
                      <w:t>保持</w:t>
                    </w:r>
                    <w:r w:rsidRPr="00ED50E1">
                      <w:rPr>
                        <w:rFonts w:asciiTheme="minorHAnsi" w:hAnsiTheme="minorHAnsi" w:cstheme="minorHAnsi" w:hint="eastAsia"/>
                        <w:b/>
                        <w:bCs/>
                        <w:color w:val="FFFFFF" w:themeColor="light1"/>
                        <w:kern w:val="24"/>
                        <w:sz w:val="38"/>
                        <w:szCs w:val="38"/>
                      </w:rPr>
                      <w:t>稳健增长，持续</w:t>
                    </w:r>
                    <w:proofErr w:type="gramStart"/>
                    <w:r w:rsidRPr="00ED50E1">
                      <w:rPr>
                        <w:rFonts w:asciiTheme="minorHAnsi" w:hAnsiTheme="minorHAnsi" w:cstheme="minorHAnsi" w:hint="eastAsia"/>
                        <w:b/>
                        <w:bCs/>
                        <w:color w:val="FFFFFF" w:themeColor="light1"/>
                        <w:kern w:val="24"/>
                        <w:sz w:val="38"/>
                        <w:szCs w:val="38"/>
                      </w:rPr>
                      <w:t>加大算力投资</w:t>
                    </w:r>
                    <w:proofErr w:type="gramEnd"/>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33D355E7" wp14:editId="4D934D4B">
              <wp:simplePos x="0" y="0"/>
              <wp:positionH relativeFrom="column">
                <wp:posOffset>-914400</wp:posOffset>
              </wp:positionH>
              <wp:positionV relativeFrom="paragraph">
                <wp:posOffset>1024890</wp:posOffset>
              </wp:positionV>
              <wp:extent cx="7772400" cy="274320"/>
              <wp:effectExtent l="0" t="0" r="0" b="0"/>
              <wp:wrapNone/>
              <wp:docPr id="4" name="Rectangle 3"/>
              <wp:cNvGraphicFramePr/>
              <a:graphic xmlns:a="http://schemas.openxmlformats.org/drawingml/2006/main">
                <a:graphicData uri="http://schemas.microsoft.com/office/word/2010/wordprocessingShape">
                  <wps:wsp>
                    <wps:cNvSpPr/>
                    <wps:spPr>
                      <a:xfrm>
                        <a:off x="0" y="0"/>
                        <a:ext cx="7772400" cy="274320"/>
                      </a:xfrm>
                      <a:prstGeom prst="rect">
                        <a:avLst/>
                      </a:prstGeom>
                      <a:solidFill>
                        <a:srgbClr val="DEDFE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1F7A21" w14:textId="77777777" w:rsidR="0014147F" w:rsidRDefault="0014147F">
                          <w:pPr>
                            <w:pStyle w:val="NormalWeb"/>
                            <w:spacing w:before="0" w:beforeAutospacing="0" w:after="0" w:afterAutospacing="0"/>
                            <w:ind w:right="336"/>
                            <w:rPr>
                              <w:color w:val="FFFFFF" w:themeColor="background1"/>
                              <w:sz w:val="6"/>
                            </w:rPr>
                          </w:pPr>
                        </w:p>
                      </w:txbxContent>
                    </wps:txbx>
                    <wps:bodyPr wrap="square" rtlCol="0" anchor="ctr">
                      <a:noAutofit/>
                    </wps:bodyPr>
                  </wps:wsp>
                </a:graphicData>
              </a:graphic>
            </wp:anchor>
          </w:drawing>
        </mc:Choice>
        <mc:Fallback>
          <w:pict>
            <v:rect w14:anchorId="33D355E7" id="Rectangle 3" o:spid="_x0000_s1032" style="position:absolute;margin-left:-1in;margin-top:80.7pt;width:612pt;height:21.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" fillcolor="#dedfef" stroked="f" strokeweight="1pt">
              <v:textbox>
                <w:txbxContent>
                  <w:p w14:paraId="321F7A21" w14:textId="77777777" w:rsidR="0014147F" w:rsidRDefault="0014147F">
                    <w:pPr>
                      <w:pStyle w:val="a9"/>
                      <w:spacing w:before="0" w:beforeAutospacing="0" w:after="0" w:afterAutospacing="0"/>
                      <w:ind w:right="336"/>
                      <w:rPr>
                        <w:color w:val="FFFFFF" w:themeColor="background1"/>
                        <w:sz w:val="6"/>
                      </w:rPr>
                    </w:pP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27090FF0" wp14:editId="21B52DED">
              <wp:simplePos x="0" y="0"/>
              <wp:positionH relativeFrom="column">
                <wp:posOffset>-998220</wp:posOffset>
              </wp:positionH>
              <wp:positionV relativeFrom="paragraph">
                <wp:posOffset>1017270</wp:posOffset>
              </wp:positionV>
              <wp:extent cx="79375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7937500" cy="0"/>
                      </a:xfrm>
                      <a:prstGeom prst="line">
                        <a:avLst/>
                      </a:prstGeom>
                      <a:ln w="12700">
                        <a:solidFill>
                          <a:srgbClr val="0F4D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78.6pt;margin-top:80.1pt;height:0pt;width:625pt;z-index:251699200;mso-width-relative:page;mso-height-relative:page;" filled="f" stroked="t" coordsize="21600,21600" o:gfxdata="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BYAAABkcnMvUEsBAhQAFAAAAAgAh07iQMkNWlzZAAAADQEAAA8AAAAAAAAAAQAgAAAA&#10;OAAAAGRycy9kb3ducmV2LnhtbFBLAQIUABQAAAAIAIdO4kCo8tWGuwEAAGcDAAAOAAAAAAAAAAEA&#10;IAAAAD4BAABkcnMvZTJvRG9jLnhtbFBLBQYAAAAABgAGAFkBAABrBQAAAAA=&#10;">
              <v:fill on="f" focussize="0,0"/>
              <v:stroke weight="1pt" color="#0F4D92 [3204]" miterlimit="8" joinstyle="miter"/>
              <v:imagedata o:title=""/>
              <o:lock v:ext="edit" aspectratio="f"/>
            </v:line>
          </w:pict>
        </mc:Fallback>
      </mc:AlternateContent>
    </w:r>
    <w:r>
      <w:rPr>
        <w:noProof/>
      </w:rPr>
      <mc:AlternateContent>
        <mc:Choice Requires="wps">
          <w:drawing>
            <wp:anchor distT="45720" distB="45720" distL="114300" distR="114300" simplePos="0" relativeHeight="251640832" behindDoc="0" locked="0" layoutInCell="1" allowOverlap="1" wp14:anchorId="3EAF985E" wp14:editId="71751B9F">
              <wp:simplePos x="0" y="0"/>
              <wp:positionH relativeFrom="column">
                <wp:posOffset>-658495</wp:posOffset>
              </wp:positionH>
              <wp:positionV relativeFrom="paragraph">
                <wp:posOffset>27305</wp:posOffset>
              </wp:positionV>
              <wp:extent cx="5056505" cy="951230"/>
              <wp:effectExtent l="0" t="0" r="0" b="19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632" cy="950976"/>
                      </a:xfrm>
                      <a:prstGeom prst="rect">
                        <a:avLst/>
                      </a:prstGeom>
                      <a:solidFill>
                        <a:srgbClr val="FFFFFF"/>
                      </a:solidFill>
                      <a:ln w="9525">
                        <a:noFill/>
                        <a:miter lim="800000"/>
                      </a:ln>
                    </wps:spPr>
                    <wps:txbx>
                      <w:txbxContent>
                        <w:p w14:paraId="309FB5EF" w14:textId="77777777" w:rsidR="0014147F" w:rsidRDefault="0014147F">
                          <w:r>
                            <w:rPr>
                              <w:noProof/>
                            </w:rPr>
                            <w:drawing>
                              <wp:inline distT="0" distB="0" distL="0" distR="0" wp14:anchorId="3C39FA98" wp14:editId="174F74C9">
                                <wp:extent cx="4864735" cy="55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864735" cy="553720"/>
                                        </a:xfrm>
                                        <a:prstGeom prst="rect">
                                          <a:avLst/>
                                        </a:prstGeom>
                                      </pic:spPr>
                                    </pic:pic>
                                  </a:graphicData>
                                </a:graphic>
                              </wp:inline>
                            </w:drawing>
                          </w:r>
                        </w:p>
                      </w:txbxContent>
                    </wps:txbx>
                    <wps:bodyPr rot="0" vert="horz" wrap="square" lIns="91440" tIns="182880" rIns="91440" bIns="45720" anchor="ctr" anchorCtr="0">
                      <a:noAutofit/>
                    </wps:bodyPr>
                  </wps:wsp>
                </a:graphicData>
              </a:graphic>
            </wp:anchor>
          </w:drawing>
        </mc:Choice>
        <mc:Fallback>
          <w:pict>
            <v:shape w14:anchorId="3EAF985E" id="_x0000_s1033" type="#_x0000_t202" style="position:absolute;margin-left:-51.85pt;margin-top:2.15pt;width:398.15pt;height:74.9pt;z-index:251640832;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" stroked="f">
              <v:textbox inset=",14.4pt">
                <w:txbxContent>
                  <w:p w14:paraId="309FB5EF" w14:textId="77777777" w:rsidR="0014147F" w:rsidRDefault="0014147F">
                    <w:r>
                      <w:rPr>
                        <w:noProof/>
                      </w:rPr>
                      <w:drawing>
                        <wp:inline distT="0" distB="0" distL="0" distR="0" wp14:anchorId="3C39FA98" wp14:editId="174F74C9">
                          <wp:extent cx="4864735" cy="553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4864735" cy="553720"/>
                                  </a:xfrm>
                                  <a:prstGeom prst="rect">
                                    <a:avLst/>
                                  </a:prstGeom>
                                </pic:spPr>
                              </pic:pic>
                            </a:graphicData>
                          </a:graphic>
                        </wp:inline>
                      </w:drawing>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6337F" w14:textId="77777777" w:rsidR="0014147F" w:rsidRDefault="0014147F">
    <w:pPr>
      <w:pStyle w:val="Header"/>
      <w:tabs>
        <w:tab w:val="clear" w:pos="9360"/>
        <w:tab w:val="right" w:pos="10080"/>
      </w:tabs>
      <w:rPr>
        <w:sz w:val="14"/>
        <w:szCs w:val="20"/>
      </w:rPr>
    </w:pPr>
    <w:r>
      <w:rPr>
        <w:noProof/>
      </w:rPr>
      <mc:AlternateContent>
        <mc:Choice Requires="wps">
          <w:drawing>
            <wp:anchor distT="45720" distB="45720" distL="114300" distR="114300" simplePos="0" relativeHeight="251730944" behindDoc="0" locked="0" layoutInCell="1" allowOverlap="1" wp14:anchorId="34B19BEC" wp14:editId="1CB77BA3">
              <wp:simplePos x="0" y="0"/>
              <wp:positionH relativeFrom="column">
                <wp:posOffset>-1974850</wp:posOffset>
              </wp:positionH>
              <wp:positionV relativeFrom="paragraph">
                <wp:posOffset>133985</wp:posOffset>
              </wp:positionV>
              <wp:extent cx="478790" cy="358775"/>
              <wp:effectExtent l="0" t="0" r="0" b="31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358775"/>
                      </a:xfrm>
                      <a:prstGeom prst="rect">
                        <a:avLst/>
                      </a:prstGeom>
                      <a:solidFill>
                        <a:srgbClr val="0F4D92"/>
                      </a:solidFill>
                      <a:ln w="9525">
                        <a:noFill/>
                        <a:miter lim="800000"/>
                      </a:ln>
                    </wps:spPr>
                    <wps:txbx>
                      <w:txbxContent>
                        <w:p w14:paraId="53084D9B" w14:textId="77777777" w:rsidR="0014147F" w:rsidRDefault="0014147F">
                          <w:r>
                            <w:rPr>
                              <w:noProof/>
                            </w:rPr>
                            <w:drawing>
                              <wp:inline distT="0" distB="0" distL="0" distR="0" wp14:anchorId="5E3FF525" wp14:editId="56AC7A23">
                                <wp:extent cx="279400" cy="258445"/>
                                <wp:effectExtent l="0" t="0" r="6350" b="825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4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79400" cy="258445"/>
                                        </a:xfrm>
                                        <a:prstGeom prst="rect">
                                          <a:avLst/>
                                        </a:prstGeom>
                                      </pic:spPr>
                                    </pic:pic>
                                  </a:graphicData>
                                </a:graphic>
                              </wp:inline>
                            </w:drawing>
                          </w:r>
                        </w:p>
                      </w:txbxContent>
                    </wps:txbx>
                    <wps:bodyPr rot="0" vert="horz" wrap="square" lIns="91440" tIns="45720" rIns="91440" bIns="45720" anchor="t" anchorCtr="0">
                      <a:noAutofit/>
                    </wps:bodyPr>
                  </wps:wsp>
                </a:graphicData>
              </a:graphic>
            </wp:anchor>
          </w:drawing>
        </mc:Choice>
        <mc:Fallback>
          <w:pict>
            <v:shapetype w14:anchorId="34B19BEC" id="_x0000_t202" coordsize="21600,21600" o:spt="202" path="m,l,21600r21600,l21600,xe">
              <v:stroke joinstyle="miter"/>
              <v:path gradientshapeok="t" o:connecttype="rect"/>
            </v:shapetype>
            <v:shape id="_x0000_s1034" type="#_x0000_t202" style="position:absolute;margin-left:-155.5pt;margin-top:10.55pt;width:37.7pt;height:28.25pt;z-index:25173094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" fillcolor="#0f4d92" stroked="f">
              <v:textbox>
                <w:txbxContent>
                  <w:p w14:paraId="53084D9B" w14:textId="77777777" w:rsidR="0014147F" w:rsidRDefault="0014147F">
                    <w:r>
                      <w:rPr>
                        <w:noProof/>
                      </w:rPr>
                      <w:drawing>
                        <wp:inline distT="0" distB="0" distL="0" distR="0" wp14:anchorId="5E3FF525" wp14:editId="56AC7A23">
                          <wp:extent cx="279400" cy="258445"/>
                          <wp:effectExtent l="0" t="0" r="6350" b="825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Picture 247"/>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279400" cy="25844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729920" behindDoc="1" locked="0" layoutInCell="1" allowOverlap="1" wp14:anchorId="460ED9F5" wp14:editId="42CC5941">
              <wp:simplePos x="0" y="0"/>
              <wp:positionH relativeFrom="column">
                <wp:posOffset>-2231390</wp:posOffset>
              </wp:positionH>
              <wp:positionV relativeFrom="page">
                <wp:posOffset>0</wp:posOffset>
              </wp:positionV>
              <wp:extent cx="7772400" cy="566420"/>
              <wp:effectExtent l="0" t="0" r="0" b="5080"/>
              <wp:wrapNone/>
              <wp:docPr id="245" name="Rectangle 245"/>
              <wp:cNvGraphicFramePr/>
              <a:graphic xmlns:a="http://schemas.openxmlformats.org/drawingml/2006/main">
                <a:graphicData uri="http://schemas.microsoft.com/office/word/2010/wordprocessingShape">
                  <wps:wsp>
                    <wps:cNvSpPr/>
                    <wps:spPr>
                      <a:xfrm>
                        <a:off x="0" y="0"/>
                        <a:ext cx="7772400" cy="566420"/>
                      </a:xfrm>
                      <a:prstGeom prst="rect">
                        <a:avLst/>
                      </a:prstGeom>
                      <a:solidFill>
                        <a:srgbClr val="0F4D9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245" o:spid="_x0000_s1026" o:spt="1" style="position:absolute;left:0pt;margin-left:-175.7pt;margin-top:0pt;height:44.6pt;width:612pt;mso-position-vertical-relative:page;z-index:-251586560;v-text-anchor:middle;mso-width-relative:page;mso-height-relative:page;" fillcolor="#0F4D92" filled="t" stroked="f" coordsize="21600,21600" o:gfxdata="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FgAAAGRycy9QSwECFAAUAAAACACHTuJAQ7tg&#10;5dQAAAAIAQAADwAAAAAAAAABACAAAAA4AAAAZHJzL2Rvd25yZXYueG1sUEsBAhQAFAAAAAgAh07i&#10;QKn3fjBJAgAAhAQAAA4AAAAAAAAAAQAgAAAAOQEAAGRycy9lMm9Eb2MueG1sUEsFBgAAAAAGAAYA&#10;WQEAAPQFAAAAAA==&#10;">
              <v:fill on="t" focussize="0,0"/>
              <v:stroke on="f" weight="1pt" miterlimit="8" joinstyle="miter"/>
              <v:imagedata o:title=""/>
              <o:lock v:ext="edit" aspectratio="f"/>
            </v:rect>
          </w:pict>
        </mc:Fallback>
      </mc:AlternateContent>
    </w:r>
  </w:p>
  <w:p w14:paraId="5B62495B" w14:textId="77777777" w:rsidR="0014147F" w:rsidRDefault="0014147F">
    <w:pPr>
      <w:pStyle w:val="Header"/>
      <w:tabs>
        <w:tab w:val="clear" w:pos="9360"/>
        <w:tab w:val="right" w:pos="10080"/>
      </w:tabs>
      <w:jc w:val="right"/>
      <w:rPr>
        <w:sz w:val="14"/>
        <w:szCs w:val="20"/>
      </w:rPr>
    </w:pPr>
    <w:r>
      <w:rPr>
        <w:noProof/>
        <w:sz w:val="14"/>
        <w:szCs w:val="20"/>
      </w:rPr>
      <mc:AlternateContent>
        <mc:Choice Requires="wps">
          <w:drawing>
            <wp:anchor distT="45720" distB="45720" distL="114300" distR="114300" simplePos="0" relativeHeight="251731968" behindDoc="0" locked="0" layoutInCell="1" allowOverlap="1" wp14:anchorId="3488F6DE" wp14:editId="05737DD7">
              <wp:simplePos x="0" y="0"/>
              <wp:positionH relativeFrom="column">
                <wp:posOffset>-1666240</wp:posOffset>
              </wp:positionH>
              <wp:positionV relativeFrom="page">
                <wp:posOffset>260350</wp:posOffset>
              </wp:positionV>
              <wp:extent cx="1009650" cy="246380"/>
              <wp:effectExtent l="0" t="0" r="0" b="127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46380"/>
                      </a:xfrm>
                      <a:prstGeom prst="rect">
                        <a:avLst/>
                      </a:prstGeom>
                      <a:noFill/>
                      <a:ln w="9525">
                        <a:noFill/>
                        <a:miter lim="800000"/>
                      </a:ln>
                    </wps:spPr>
                    <wps:txbx>
                      <w:txbxContent>
                        <w:p w14:paraId="18B9AE83" w14:textId="77777777" w:rsidR="0014147F" w:rsidRDefault="0014147F">
                          <w:pPr>
                            <w:rPr>
                              <w:color w:val="FFFFFF" w:themeColor="background1"/>
                              <w:sz w:val="16"/>
                              <w:szCs w:val="20"/>
                            </w:rPr>
                          </w:pPr>
                        </w:p>
                        <w:p w14:paraId="266899E8" w14:textId="77777777" w:rsidR="0014147F" w:rsidRDefault="0014147F">
                          <w:pPr>
                            <w:rPr>
                              <w:color w:val="FFFFFF" w:themeColor="background1"/>
                              <w:sz w:val="16"/>
                              <w:szCs w:val="20"/>
                            </w:rPr>
                          </w:pPr>
                        </w:p>
                      </w:txbxContent>
                    </wps:txbx>
                    <wps:bodyPr rot="0" vert="horz" wrap="square" lIns="91440" tIns="45720" rIns="91440" bIns="45720" anchor="t" anchorCtr="0">
                      <a:noAutofit/>
                    </wps:bodyPr>
                  </wps:wsp>
                </a:graphicData>
              </a:graphic>
            </wp:anchor>
          </w:drawing>
        </mc:Choice>
        <mc:Fallback>
          <w:pict>
            <v:shape w14:anchorId="3488F6DE" id="_x0000_s1035" type="#_x0000_t202" style="position:absolute;left:0;text-align:left;margin-left:-131.2pt;margin-top:20.5pt;width:79.5pt;height:19.4pt;z-index:251731968;visibility:visible;mso-wrap-style:square;mso-wrap-distance-left:9pt;mso-wrap-distance-top:3.6pt;mso-wrap-distance-right:9pt;mso-wrap-distance-bottom:3.6pt;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" filled="f" stroked="f">
              <v:textbox>
                <w:txbxContent>
                  <w:p w14:paraId="18B9AE83" w14:textId="77777777" w:rsidR="0014147F" w:rsidRDefault="0014147F">
                    <w:pPr>
                      <w:rPr>
                        <w:color w:val="FFFFFF" w:themeColor="background1"/>
                        <w:sz w:val="16"/>
                        <w:szCs w:val="20"/>
                      </w:rPr>
                    </w:pPr>
                  </w:p>
                  <w:p w14:paraId="266899E8" w14:textId="77777777" w:rsidR="0014147F" w:rsidRDefault="0014147F">
                    <w:pPr>
                      <w:rPr>
                        <w:color w:val="FFFFFF" w:themeColor="background1"/>
                        <w:sz w:val="16"/>
                        <w:szCs w:val="20"/>
                      </w:rPr>
                    </w:pPr>
                  </w:p>
                </w:txbxContent>
              </v:textbox>
              <w10:wrap anchory="page"/>
            </v:shape>
          </w:pict>
        </mc:Fallback>
      </mc:AlternateContent>
    </w:r>
  </w:p>
  <w:p w14:paraId="64A50711" w14:textId="77777777" w:rsidR="0014147F" w:rsidRDefault="0014147F">
    <w:pPr>
      <w:pStyle w:val="Header"/>
      <w:tabs>
        <w:tab w:val="clear" w:pos="9360"/>
        <w:tab w:val="right" w:pos="10080"/>
      </w:tabs>
      <w:jc w:val="right"/>
      <w:rPr>
        <w:sz w:val="12"/>
        <w:szCs w:val="12"/>
      </w:rPr>
    </w:pPr>
  </w:p>
  <w:p w14:paraId="2A0CFD4E" w14:textId="60A8C56D" w:rsidR="0014147F" w:rsidRDefault="0014147F">
    <w:pPr>
      <w:pStyle w:val="Header"/>
      <w:tabs>
        <w:tab w:val="clear" w:pos="9360"/>
        <w:tab w:val="right" w:pos="9900"/>
      </w:tabs>
      <w:ind w:right="-288"/>
      <w:jc w:val="right"/>
      <w:rPr>
        <w:color w:val="FFFFFF" w:themeColor="background1"/>
        <w:sz w:val="16"/>
        <w:szCs w:val="20"/>
      </w:rPr>
    </w:pPr>
    <w:r>
      <w:rPr>
        <w:color w:val="FFFFFF" w:themeColor="background1"/>
        <w:sz w:val="16"/>
        <w:szCs w:val="20"/>
      </w:rPr>
      <w:t>2023</w:t>
    </w:r>
    <w:r>
      <w:rPr>
        <w:rFonts w:hint="eastAsia"/>
        <w:color w:val="FFFFFF" w:themeColor="background1"/>
        <w:sz w:val="16"/>
        <w:szCs w:val="20"/>
      </w:rPr>
      <w:t>年</w:t>
    </w:r>
    <w:r>
      <w:rPr>
        <w:color w:val="FFFFFF" w:themeColor="background1"/>
        <w:sz w:val="16"/>
        <w:szCs w:val="20"/>
      </w:rPr>
      <w:t>4</w:t>
    </w:r>
    <w:r>
      <w:rPr>
        <w:rFonts w:hint="eastAsia"/>
        <w:color w:val="FFFFFF" w:themeColor="background1"/>
        <w:sz w:val="16"/>
        <w:szCs w:val="20"/>
      </w:rPr>
      <w:t>月</w:t>
    </w:r>
    <w:r w:rsidR="00171E09">
      <w:rPr>
        <w:color w:val="FFFFFF" w:themeColor="background1"/>
        <w:sz w:val="16"/>
        <w:szCs w:val="20"/>
      </w:rPr>
      <w:t>21</w:t>
    </w:r>
    <w:r>
      <w:rPr>
        <w:rFonts w:hint="eastAsia"/>
        <w:color w:val="FFFFFF" w:themeColor="background1"/>
        <w:sz w:val="16"/>
        <w:szCs w:val="20"/>
      </w:rPr>
      <w:t>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37D4"/>
    <w:multiLevelType w:val="multilevel"/>
    <w:tmpl w:val="0C0437D4"/>
    <w:lvl w:ilvl="0">
      <w:start w:val="1"/>
      <w:numFmt w:val="japaneseCounting"/>
      <w:lvlText w:val="（%1）"/>
      <w:lvlJc w:val="left"/>
      <w:pPr>
        <w:ind w:left="765" w:hanging="765"/>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75E71C5"/>
    <w:multiLevelType w:val="multilevel"/>
    <w:tmpl w:val="275E71C5"/>
    <w:lvl w:ilvl="0">
      <w:start w:val="1"/>
      <w:numFmt w:val="chineseCountingThousand"/>
      <w:pStyle w:val="Heading4"/>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F661743"/>
    <w:multiLevelType w:val="hybridMultilevel"/>
    <w:tmpl w:val="072C9F6E"/>
    <w:lvl w:ilvl="0" w:tplc="EE96A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C42B9E"/>
    <w:multiLevelType w:val="multilevel"/>
    <w:tmpl w:val="45C42B9E"/>
    <w:lvl w:ilvl="0">
      <w:start w:val="1"/>
      <w:numFmt w:val="chineseCountingThousand"/>
      <w:pStyle w:val="Heading3"/>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CA57043"/>
    <w:multiLevelType w:val="hybridMultilevel"/>
    <w:tmpl w:val="072C9F6E"/>
    <w:lvl w:ilvl="0" w:tplc="EE96A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D16304E"/>
    <w:multiLevelType w:val="hybridMultilevel"/>
    <w:tmpl w:val="072C9F6E"/>
    <w:lvl w:ilvl="0" w:tplc="EE96A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91348045">
    <w:abstractNumId w:val="3"/>
  </w:num>
  <w:num w:numId="2" w16cid:durableId="157035703">
    <w:abstractNumId w:val="1"/>
  </w:num>
  <w:num w:numId="3" w16cid:durableId="2113162025">
    <w:abstractNumId w:val="1"/>
    <w:lvlOverride w:ilvl="0">
      <w:startOverride w:val="1"/>
    </w:lvlOverride>
  </w:num>
  <w:num w:numId="4" w16cid:durableId="708845336">
    <w:abstractNumId w:val="0"/>
  </w:num>
  <w:num w:numId="5" w16cid:durableId="12180051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75113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07839241">
    <w:abstractNumId w:val="2"/>
  </w:num>
  <w:num w:numId="8" w16cid:durableId="1331985887">
    <w:abstractNumId w:val="5"/>
  </w:num>
  <w:num w:numId="9" w16cid:durableId="11717249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919"/>
    <w:rsid w:val="9FFE0F64"/>
    <w:rsid w:val="CAD6F0B5"/>
    <w:rsid w:val="CFFFC90E"/>
    <w:rsid w:val="D3ED1949"/>
    <w:rsid w:val="D7DD0C86"/>
    <w:rsid w:val="EEF592ED"/>
    <w:rsid w:val="EFCF73EC"/>
    <w:rsid w:val="F25DBE19"/>
    <w:rsid w:val="F65F908A"/>
    <w:rsid w:val="F6BBB250"/>
    <w:rsid w:val="F7F51CDE"/>
    <w:rsid w:val="FE7468B3"/>
    <w:rsid w:val="FFFF1764"/>
    <w:rsid w:val="00000427"/>
    <w:rsid w:val="00000445"/>
    <w:rsid w:val="00000F38"/>
    <w:rsid w:val="0000153D"/>
    <w:rsid w:val="0000167D"/>
    <w:rsid w:val="00001FC5"/>
    <w:rsid w:val="00002223"/>
    <w:rsid w:val="000023F2"/>
    <w:rsid w:val="00002B0C"/>
    <w:rsid w:val="00003CA5"/>
    <w:rsid w:val="0000469A"/>
    <w:rsid w:val="00004B69"/>
    <w:rsid w:val="00005206"/>
    <w:rsid w:val="00005F11"/>
    <w:rsid w:val="00006008"/>
    <w:rsid w:val="00006253"/>
    <w:rsid w:val="0000643E"/>
    <w:rsid w:val="00006BCA"/>
    <w:rsid w:val="0001070C"/>
    <w:rsid w:val="00010830"/>
    <w:rsid w:val="00011E1D"/>
    <w:rsid w:val="000125DF"/>
    <w:rsid w:val="00012634"/>
    <w:rsid w:val="0001277D"/>
    <w:rsid w:val="000129EE"/>
    <w:rsid w:val="00012D35"/>
    <w:rsid w:val="00012E9C"/>
    <w:rsid w:val="0001384D"/>
    <w:rsid w:val="00013BA8"/>
    <w:rsid w:val="00013BF0"/>
    <w:rsid w:val="00014386"/>
    <w:rsid w:val="0001464D"/>
    <w:rsid w:val="00014B8D"/>
    <w:rsid w:val="00015D61"/>
    <w:rsid w:val="00015E80"/>
    <w:rsid w:val="00015F02"/>
    <w:rsid w:val="00016022"/>
    <w:rsid w:val="0001639D"/>
    <w:rsid w:val="0001681C"/>
    <w:rsid w:val="00016C07"/>
    <w:rsid w:val="00016D20"/>
    <w:rsid w:val="0001713F"/>
    <w:rsid w:val="000172EF"/>
    <w:rsid w:val="0001747D"/>
    <w:rsid w:val="00017BD5"/>
    <w:rsid w:val="00020734"/>
    <w:rsid w:val="00020971"/>
    <w:rsid w:val="00020A0C"/>
    <w:rsid w:val="00020A1A"/>
    <w:rsid w:val="00020D86"/>
    <w:rsid w:val="000210B2"/>
    <w:rsid w:val="0002156C"/>
    <w:rsid w:val="000215AB"/>
    <w:rsid w:val="00021706"/>
    <w:rsid w:val="00021BBA"/>
    <w:rsid w:val="00022DE1"/>
    <w:rsid w:val="00023300"/>
    <w:rsid w:val="00023BC9"/>
    <w:rsid w:val="00023D67"/>
    <w:rsid w:val="00023EE5"/>
    <w:rsid w:val="00024477"/>
    <w:rsid w:val="00024A8A"/>
    <w:rsid w:val="00026169"/>
    <w:rsid w:val="00027058"/>
    <w:rsid w:val="00027E5E"/>
    <w:rsid w:val="000301A8"/>
    <w:rsid w:val="00030A3D"/>
    <w:rsid w:val="0003256C"/>
    <w:rsid w:val="000334A6"/>
    <w:rsid w:val="0003354B"/>
    <w:rsid w:val="000339AB"/>
    <w:rsid w:val="00033F8F"/>
    <w:rsid w:val="000346FB"/>
    <w:rsid w:val="0003473C"/>
    <w:rsid w:val="000354AF"/>
    <w:rsid w:val="00035F65"/>
    <w:rsid w:val="00036530"/>
    <w:rsid w:val="00037B4B"/>
    <w:rsid w:val="00040069"/>
    <w:rsid w:val="00040196"/>
    <w:rsid w:val="00040230"/>
    <w:rsid w:val="000409A1"/>
    <w:rsid w:val="000413BE"/>
    <w:rsid w:val="00041691"/>
    <w:rsid w:val="000416C5"/>
    <w:rsid w:val="000424CF"/>
    <w:rsid w:val="00042B12"/>
    <w:rsid w:val="00042B39"/>
    <w:rsid w:val="00042E4A"/>
    <w:rsid w:val="00043A53"/>
    <w:rsid w:val="000440A1"/>
    <w:rsid w:val="00044355"/>
    <w:rsid w:val="00045303"/>
    <w:rsid w:val="00045426"/>
    <w:rsid w:val="00045989"/>
    <w:rsid w:val="00045F34"/>
    <w:rsid w:val="00046507"/>
    <w:rsid w:val="000466CC"/>
    <w:rsid w:val="00046B56"/>
    <w:rsid w:val="00046D85"/>
    <w:rsid w:val="00047194"/>
    <w:rsid w:val="00047A44"/>
    <w:rsid w:val="00047A47"/>
    <w:rsid w:val="00047F87"/>
    <w:rsid w:val="0005027A"/>
    <w:rsid w:val="000510F1"/>
    <w:rsid w:val="0005156A"/>
    <w:rsid w:val="00051993"/>
    <w:rsid w:val="00051D48"/>
    <w:rsid w:val="000525A3"/>
    <w:rsid w:val="00052AD2"/>
    <w:rsid w:val="00052ED5"/>
    <w:rsid w:val="00052ED8"/>
    <w:rsid w:val="00053A86"/>
    <w:rsid w:val="00053DF6"/>
    <w:rsid w:val="00053E28"/>
    <w:rsid w:val="00054173"/>
    <w:rsid w:val="000544FF"/>
    <w:rsid w:val="00054D2C"/>
    <w:rsid w:val="00054F79"/>
    <w:rsid w:val="000553AC"/>
    <w:rsid w:val="000554A5"/>
    <w:rsid w:val="0005558F"/>
    <w:rsid w:val="0005600C"/>
    <w:rsid w:val="0005676A"/>
    <w:rsid w:val="000569D5"/>
    <w:rsid w:val="00057AFC"/>
    <w:rsid w:val="00057FC4"/>
    <w:rsid w:val="00057FEB"/>
    <w:rsid w:val="00060455"/>
    <w:rsid w:val="000606E3"/>
    <w:rsid w:val="00060810"/>
    <w:rsid w:val="00060D6A"/>
    <w:rsid w:val="00060E29"/>
    <w:rsid w:val="0006128C"/>
    <w:rsid w:val="0006169B"/>
    <w:rsid w:val="000616C8"/>
    <w:rsid w:val="0006178F"/>
    <w:rsid w:val="00061D1A"/>
    <w:rsid w:val="000620FA"/>
    <w:rsid w:val="00062CBA"/>
    <w:rsid w:val="00063139"/>
    <w:rsid w:val="00063A90"/>
    <w:rsid w:val="00063C79"/>
    <w:rsid w:val="00064433"/>
    <w:rsid w:val="00064493"/>
    <w:rsid w:val="0006508B"/>
    <w:rsid w:val="0006509F"/>
    <w:rsid w:val="00065509"/>
    <w:rsid w:val="0006561C"/>
    <w:rsid w:val="00065872"/>
    <w:rsid w:val="00065DCA"/>
    <w:rsid w:val="00066309"/>
    <w:rsid w:val="0006696E"/>
    <w:rsid w:val="00066B22"/>
    <w:rsid w:val="00066C16"/>
    <w:rsid w:val="00066EE4"/>
    <w:rsid w:val="00067492"/>
    <w:rsid w:val="000675C4"/>
    <w:rsid w:val="0006787F"/>
    <w:rsid w:val="000700D2"/>
    <w:rsid w:val="00070807"/>
    <w:rsid w:val="00070CFC"/>
    <w:rsid w:val="00070D10"/>
    <w:rsid w:val="00070F08"/>
    <w:rsid w:val="000721D0"/>
    <w:rsid w:val="00072493"/>
    <w:rsid w:val="00072C51"/>
    <w:rsid w:val="00072D6B"/>
    <w:rsid w:val="00072EE6"/>
    <w:rsid w:val="00073246"/>
    <w:rsid w:val="00074C4D"/>
    <w:rsid w:val="00075028"/>
    <w:rsid w:val="00075070"/>
    <w:rsid w:val="000757CC"/>
    <w:rsid w:val="00075D59"/>
    <w:rsid w:val="00076E5C"/>
    <w:rsid w:val="00077243"/>
    <w:rsid w:val="000778DE"/>
    <w:rsid w:val="00080698"/>
    <w:rsid w:val="00080C66"/>
    <w:rsid w:val="000811FF"/>
    <w:rsid w:val="00081438"/>
    <w:rsid w:val="00081534"/>
    <w:rsid w:val="0008172A"/>
    <w:rsid w:val="00082CC7"/>
    <w:rsid w:val="00083211"/>
    <w:rsid w:val="000842DF"/>
    <w:rsid w:val="00084339"/>
    <w:rsid w:val="0008435E"/>
    <w:rsid w:val="00084483"/>
    <w:rsid w:val="00084549"/>
    <w:rsid w:val="00084832"/>
    <w:rsid w:val="00084FDC"/>
    <w:rsid w:val="00085210"/>
    <w:rsid w:val="00085387"/>
    <w:rsid w:val="00085933"/>
    <w:rsid w:val="00085D2D"/>
    <w:rsid w:val="00085DB1"/>
    <w:rsid w:val="00085F18"/>
    <w:rsid w:val="00086312"/>
    <w:rsid w:val="0008665B"/>
    <w:rsid w:val="000867D2"/>
    <w:rsid w:val="00086B52"/>
    <w:rsid w:val="000876DD"/>
    <w:rsid w:val="00087A65"/>
    <w:rsid w:val="00087B84"/>
    <w:rsid w:val="00087E7F"/>
    <w:rsid w:val="00090559"/>
    <w:rsid w:val="00091F8B"/>
    <w:rsid w:val="00092035"/>
    <w:rsid w:val="000920A8"/>
    <w:rsid w:val="0009227B"/>
    <w:rsid w:val="0009259F"/>
    <w:rsid w:val="0009278F"/>
    <w:rsid w:val="000928CF"/>
    <w:rsid w:val="00092ABA"/>
    <w:rsid w:val="00092B70"/>
    <w:rsid w:val="00093245"/>
    <w:rsid w:val="000933FF"/>
    <w:rsid w:val="00094B0A"/>
    <w:rsid w:val="00094BF5"/>
    <w:rsid w:val="00094C01"/>
    <w:rsid w:val="00094E31"/>
    <w:rsid w:val="0009540E"/>
    <w:rsid w:val="000959EB"/>
    <w:rsid w:val="000960DA"/>
    <w:rsid w:val="000961E0"/>
    <w:rsid w:val="000969C8"/>
    <w:rsid w:val="00096AAE"/>
    <w:rsid w:val="00096BEA"/>
    <w:rsid w:val="00097031"/>
    <w:rsid w:val="000972DA"/>
    <w:rsid w:val="0009738F"/>
    <w:rsid w:val="000973AB"/>
    <w:rsid w:val="00097405"/>
    <w:rsid w:val="0009794C"/>
    <w:rsid w:val="00097BEE"/>
    <w:rsid w:val="00097FDB"/>
    <w:rsid w:val="000A1076"/>
    <w:rsid w:val="000A11CC"/>
    <w:rsid w:val="000A28D2"/>
    <w:rsid w:val="000A2B9A"/>
    <w:rsid w:val="000A38F5"/>
    <w:rsid w:val="000A3B24"/>
    <w:rsid w:val="000A3B2F"/>
    <w:rsid w:val="000A48C2"/>
    <w:rsid w:val="000A4972"/>
    <w:rsid w:val="000A4DCC"/>
    <w:rsid w:val="000A5516"/>
    <w:rsid w:val="000A5B6A"/>
    <w:rsid w:val="000A5DA1"/>
    <w:rsid w:val="000A5EC4"/>
    <w:rsid w:val="000A6094"/>
    <w:rsid w:val="000A6B86"/>
    <w:rsid w:val="000A6FC9"/>
    <w:rsid w:val="000A7561"/>
    <w:rsid w:val="000A7D1E"/>
    <w:rsid w:val="000A7E49"/>
    <w:rsid w:val="000B0ACD"/>
    <w:rsid w:val="000B0BB4"/>
    <w:rsid w:val="000B1371"/>
    <w:rsid w:val="000B1773"/>
    <w:rsid w:val="000B1936"/>
    <w:rsid w:val="000B1A09"/>
    <w:rsid w:val="000B229D"/>
    <w:rsid w:val="000B26E5"/>
    <w:rsid w:val="000B367B"/>
    <w:rsid w:val="000B3938"/>
    <w:rsid w:val="000B4DD2"/>
    <w:rsid w:val="000B5010"/>
    <w:rsid w:val="000B504C"/>
    <w:rsid w:val="000B5066"/>
    <w:rsid w:val="000B50C9"/>
    <w:rsid w:val="000B544C"/>
    <w:rsid w:val="000B54CB"/>
    <w:rsid w:val="000B5B5B"/>
    <w:rsid w:val="000B6184"/>
    <w:rsid w:val="000B6558"/>
    <w:rsid w:val="000B79C6"/>
    <w:rsid w:val="000B7AA3"/>
    <w:rsid w:val="000C027B"/>
    <w:rsid w:val="000C0AE7"/>
    <w:rsid w:val="000C163D"/>
    <w:rsid w:val="000C19C9"/>
    <w:rsid w:val="000C1A4A"/>
    <w:rsid w:val="000C1ABE"/>
    <w:rsid w:val="000C1C37"/>
    <w:rsid w:val="000C1EE3"/>
    <w:rsid w:val="000C1F63"/>
    <w:rsid w:val="000C2B30"/>
    <w:rsid w:val="000C2B86"/>
    <w:rsid w:val="000C2CD4"/>
    <w:rsid w:val="000C32E5"/>
    <w:rsid w:val="000C3E33"/>
    <w:rsid w:val="000C3EB9"/>
    <w:rsid w:val="000C3F8E"/>
    <w:rsid w:val="000C4066"/>
    <w:rsid w:val="000C4DF7"/>
    <w:rsid w:val="000C5030"/>
    <w:rsid w:val="000C58A8"/>
    <w:rsid w:val="000C597B"/>
    <w:rsid w:val="000C5D80"/>
    <w:rsid w:val="000C5F0B"/>
    <w:rsid w:val="000C67D6"/>
    <w:rsid w:val="000C6824"/>
    <w:rsid w:val="000C6BF8"/>
    <w:rsid w:val="000C6DF9"/>
    <w:rsid w:val="000C6E6E"/>
    <w:rsid w:val="000C7CC6"/>
    <w:rsid w:val="000C7F3D"/>
    <w:rsid w:val="000D0303"/>
    <w:rsid w:val="000D1FE9"/>
    <w:rsid w:val="000D2621"/>
    <w:rsid w:val="000D269E"/>
    <w:rsid w:val="000D3108"/>
    <w:rsid w:val="000D3333"/>
    <w:rsid w:val="000D3E13"/>
    <w:rsid w:val="000D40F1"/>
    <w:rsid w:val="000D49A1"/>
    <w:rsid w:val="000D50A5"/>
    <w:rsid w:val="000D5181"/>
    <w:rsid w:val="000D5A64"/>
    <w:rsid w:val="000D5F88"/>
    <w:rsid w:val="000D69FF"/>
    <w:rsid w:val="000D6EAC"/>
    <w:rsid w:val="000D6F23"/>
    <w:rsid w:val="000D6FA6"/>
    <w:rsid w:val="000D6FDA"/>
    <w:rsid w:val="000D725B"/>
    <w:rsid w:val="000D766B"/>
    <w:rsid w:val="000E019E"/>
    <w:rsid w:val="000E055A"/>
    <w:rsid w:val="000E07C6"/>
    <w:rsid w:val="000E07CD"/>
    <w:rsid w:val="000E142F"/>
    <w:rsid w:val="000E16C0"/>
    <w:rsid w:val="000E19D8"/>
    <w:rsid w:val="000E1E37"/>
    <w:rsid w:val="000E2A48"/>
    <w:rsid w:val="000E2BBA"/>
    <w:rsid w:val="000E2BE2"/>
    <w:rsid w:val="000E30BB"/>
    <w:rsid w:val="000E30EB"/>
    <w:rsid w:val="000E37A3"/>
    <w:rsid w:val="000E4248"/>
    <w:rsid w:val="000E461E"/>
    <w:rsid w:val="000E4ADB"/>
    <w:rsid w:val="000E4CCA"/>
    <w:rsid w:val="000E6015"/>
    <w:rsid w:val="000E6566"/>
    <w:rsid w:val="000E68F3"/>
    <w:rsid w:val="000E72A8"/>
    <w:rsid w:val="000E77C8"/>
    <w:rsid w:val="000E7D58"/>
    <w:rsid w:val="000E7D85"/>
    <w:rsid w:val="000F0C2D"/>
    <w:rsid w:val="000F0DB5"/>
    <w:rsid w:val="000F0E5E"/>
    <w:rsid w:val="000F18FE"/>
    <w:rsid w:val="000F19A7"/>
    <w:rsid w:val="000F19CC"/>
    <w:rsid w:val="000F2363"/>
    <w:rsid w:val="000F3F9A"/>
    <w:rsid w:val="000F45AC"/>
    <w:rsid w:val="000F4A3D"/>
    <w:rsid w:val="000F4FCE"/>
    <w:rsid w:val="000F56A7"/>
    <w:rsid w:val="000F5BFE"/>
    <w:rsid w:val="000F672B"/>
    <w:rsid w:val="000F6734"/>
    <w:rsid w:val="000F6935"/>
    <w:rsid w:val="0010005B"/>
    <w:rsid w:val="001003C9"/>
    <w:rsid w:val="00100AE7"/>
    <w:rsid w:val="001019F8"/>
    <w:rsid w:val="00102934"/>
    <w:rsid w:val="00102E0B"/>
    <w:rsid w:val="0010382B"/>
    <w:rsid w:val="00103CE8"/>
    <w:rsid w:val="00103E52"/>
    <w:rsid w:val="00104CA4"/>
    <w:rsid w:val="00104EC6"/>
    <w:rsid w:val="00105546"/>
    <w:rsid w:val="00106070"/>
    <w:rsid w:val="00106493"/>
    <w:rsid w:val="00106BA6"/>
    <w:rsid w:val="0010719B"/>
    <w:rsid w:val="00107794"/>
    <w:rsid w:val="00107C4A"/>
    <w:rsid w:val="001100BC"/>
    <w:rsid w:val="00110141"/>
    <w:rsid w:val="0011028B"/>
    <w:rsid w:val="001107D1"/>
    <w:rsid w:val="00110AF4"/>
    <w:rsid w:val="00110CFD"/>
    <w:rsid w:val="00111508"/>
    <w:rsid w:val="00111669"/>
    <w:rsid w:val="00111B1B"/>
    <w:rsid w:val="00111ECB"/>
    <w:rsid w:val="001126DB"/>
    <w:rsid w:val="0011284C"/>
    <w:rsid w:val="00112DCF"/>
    <w:rsid w:val="001131B6"/>
    <w:rsid w:val="001133BF"/>
    <w:rsid w:val="00114032"/>
    <w:rsid w:val="001143C4"/>
    <w:rsid w:val="0011484B"/>
    <w:rsid w:val="00114FD4"/>
    <w:rsid w:val="0011518B"/>
    <w:rsid w:val="00116763"/>
    <w:rsid w:val="001167D0"/>
    <w:rsid w:val="00116DCC"/>
    <w:rsid w:val="00116F02"/>
    <w:rsid w:val="0011723A"/>
    <w:rsid w:val="00117814"/>
    <w:rsid w:val="001206F0"/>
    <w:rsid w:val="00120950"/>
    <w:rsid w:val="00120D47"/>
    <w:rsid w:val="00120F6C"/>
    <w:rsid w:val="001212E9"/>
    <w:rsid w:val="00121A5E"/>
    <w:rsid w:val="00121DE1"/>
    <w:rsid w:val="00122211"/>
    <w:rsid w:val="001224C0"/>
    <w:rsid w:val="0012265C"/>
    <w:rsid w:val="00122F3B"/>
    <w:rsid w:val="001234BE"/>
    <w:rsid w:val="001235F6"/>
    <w:rsid w:val="0012381C"/>
    <w:rsid w:val="00123FE6"/>
    <w:rsid w:val="001241EB"/>
    <w:rsid w:val="00124637"/>
    <w:rsid w:val="00125A6B"/>
    <w:rsid w:val="001264C1"/>
    <w:rsid w:val="001269BC"/>
    <w:rsid w:val="00126DC1"/>
    <w:rsid w:val="00127110"/>
    <w:rsid w:val="00127375"/>
    <w:rsid w:val="001279E2"/>
    <w:rsid w:val="001279E5"/>
    <w:rsid w:val="00127FBE"/>
    <w:rsid w:val="00130BE9"/>
    <w:rsid w:val="00130DE8"/>
    <w:rsid w:val="00131291"/>
    <w:rsid w:val="001312D2"/>
    <w:rsid w:val="00131421"/>
    <w:rsid w:val="0013152A"/>
    <w:rsid w:val="0013181D"/>
    <w:rsid w:val="00131C26"/>
    <w:rsid w:val="001331EB"/>
    <w:rsid w:val="00133346"/>
    <w:rsid w:val="001338BF"/>
    <w:rsid w:val="00133D2F"/>
    <w:rsid w:val="00133DA0"/>
    <w:rsid w:val="00133EA7"/>
    <w:rsid w:val="001347CE"/>
    <w:rsid w:val="0013481E"/>
    <w:rsid w:val="001352EB"/>
    <w:rsid w:val="0013549B"/>
    <w:rsid w:val="00135B61"/>
    <w:rsid w:val="00135E54"/>
    <w:rsid w:val="0013655E"/>
    <w:rsid w:val="00136CF1"/>
    <w:rsid w:val="00136FA5"/>
    <w:rsid w:val="0013769E"/>
    <w:rsid w:val="0013777A"/>
    <w:rsid w:val="00137B63"/>
    <w:rsid w:val="00140059"/>
    <w:rsid w:val="00140FAC"/>
    <w:rsid w:val="0014147F"/>
    <w:rsid w:val="001414F7"/>
    <w:rsid w:val="00141606"/>
    <w:rsid w:val="00143566"/>
    <w:rsid w:val="00143ACE"/>
    <w:rsid w:val="00143B81"/>
    <w:rsid w:val="00144303"/>
    <w:rsid w:val="001446DB"/>
    <w:rsid w:val="0014474A"/>
    <w:rsid w:val="00144E2F"/>
    <w:rsid w:val="0014524D"/>
    <w:rsid w:val="00145299"/>
    <w:rsid w:val="001452BA"/>
    <w:rsid w:val="001459E4"/>
    <w:rsid w:val="0014608B"/>
    <w:rsid w:val="0014611F"/>
    <w:rsid w:val="00146FAC"/>
    <w:rsid w:val="00147196"/>
    <w:rsid w:val="001473D1"/>
    <w:rsid w:val="00147567"/>
    <w:rsid w:val="001479F2"/>
    <w:rsid w:val="00147EBF"/>
    <w:rsid w:val="00150E94"/>
    <w:rsid w:val="00150FCC"/>
    <w:rsid w:val="0015130A"/>
    <w:rsid w:val="00151495"/>
    <w:rsid w:val="001523F5"/>
    <w:rsid w:val="001526E4"/>
    <w:rsid w:val="00152C73"/>
    <w:rsid w:val="00152E59"/>
    <w:rsid w:val="00153984"/>
    <w:rsid w:val="00153A2A"/>
    <w:rsid w:val="001545D4"/>
    <w:rsid w:val="00155DE2"/>
    <w:rsid w:val="00155DEE"/>
    <w:rsid w:val="0015639F"/>
    <w:rsid w:val="00156EB8"/>
    <w:rsid w:val="00157200"/>
    <w:rsid w:val="001576C2"/>
    <w:rsid w:val="00157844"/>
    <w:rsid w:val="00157C29"/>
    <w:rsid w:val="00157EAA"/>
    <w:rsid w:val="00157F0A"/>
    <w:rsid w:val="00157F71"/>
    <w:rsid w:val="0016051A"/>
    <w:rsid w:val="001606EF"/>
    <w:rsid w:val="00160914"/>
    <w:rsid w:val="00160B85"/>
    <w:rsid w:val="0016165E"/>
    <w:rsid w:val="00161A7C"/>
    <w:rsid w:val="00161A83"/>
    <w:rsid w:val="00161C62"/>
    <w:rsid w:val="00161D99"/>
    <w:rsid w:val="00162519"/>
    <w:rsid w:val="00162CF6"/>
    <w:rsid w:val="0016333B"/>
    <w:rsid w:val="001634FB"/>
    <w:rsid w:val="00164177"/>
    <w:rsid w:val="001641E1"/>
    <w:rsid w:val="00164DC1"/>
    <w:rsid w:val="00165488"/>
    <w:rsid w:val="0016560D"/>
    <w:rsid w:val="00165DD5"/>
    <w:rsid w:val="00165F35"/>
    <w:rsid w:val="0016668D"/>
    <w:rsid w:val="0016687B"/>
    <w:rsid w:val="001669AF"/>
    <w:rsid w:val="001669D9"/>
    <w:rsid w:val="00166A4A"/>
    <w:rsid w:val="00166D88"/>
    <w:rsid w:val="00166DC8"/>
    <w:rsid w:val="00166EF6"/>
    <w:rsid w:val="00166F59"/>
    <w:rsid w:val="00166FFA"/>
    <w:rsid w:val="00167208"/>
    <w:rsid w:val="00167CE8"/>
    <w:rsid w:val="00170099"/>
    <w:rsid w:val="0017043D"/>
    <w:rsid w:val="001705DB"/>
    <w:rsid w:val="0017075A"/>
    <w:rsid w:val="00171311"/>
    <w:rsid w:val="0017172A"/>
    <w:rsid w:val="00171950"/>
    <w:rsid w:val="00171A8A"/>
    <w:rsid w:val="00171CBD"/>
    <w:rsid w:val="00171D59"/>
    <w:rsid w:val="00171E09"/>
    <w:rsid w:val="001720EC"/>
    <w:rsid w:val="0017218C"/>
    <w:rsid w:val="00173553"/>
    <w:rsid w:val="00173611"/>
    <w:rsid w:val="001736CF"/>
    <w:rsid w:val="00173A1E"/>
    <w:rsid w:val="00173F56"/>
    <w:rsid w:val="00174DD6"/>
    <w:rsid w:val="00174FB5"/>
    <w:rsid w:val="0017508C"/>
    <w:rsid w:val="001761FE"/>
    <w:rsid w:val="0017707A"/>
    <w:rsid w:val="00177118"/>
    <w:rsid w:val="001772E4"/>
    <w:rsid w:val="00177364"/>
    <w:rsid w:val="001774E8"/>
    <w:rsid w:val="00177C9A"/>
    <w:rsid w:val="00177E3D"/>
    <w:rsid w:val="00177FF8"/>
    <w:rsid w:val="00180C38"/>
    <w:rsid w:val="00181856"/>
    <w:rsid w:val="00181ABF"/>
    <w:rsid w:val="00181B7A"/>
    <w:rsid w:val="00181F9E"/>
    <w:rsid w:val="00182CBF"/>
    <w:rsid w:val="00182D32"/>
    <w:rsid w:val="00182E5D"/>
    <w:rsid w:val="00182E8A"/>
    <w:rsid w:val="00183282"/>
    <w:rsid w:val="001832A4"/>
    <w:rsid w:val="0018356A"/>
    <w:rsid w:val="00183C76"/>
    <w:rsid w:val="0018419E"/>
    <w:rsid w:val="00184CD6"/>
    <w:rsid w:val="00184F1B"/>
    <w:rsid w:val="0018508A"/>
    <w:rsid w:val="0018599D"/>
    <w:rsid w:val="001859FE"/>
    <w:rsid w:val="00185CFA"/>
    <w:rsid w:val="00185D02"/>
    <w:rsid w:val="00185D16"/>
    <w:rsid w:val="00185D9E"/>
    <w:rsid w:val="00186FD5"/>
    <w:rsid w:val="00186FE0"/>
    <w:rsid w:val="001873E2"/>
    <w:rsid w:val="001878E1"/>
    <w:rsid w:val="00187F7B"/>
    <w:rsid w:val="00190090"/>
    <w:rsid w:val="00190CFF"/>
    <w:rsid w:val="001913B5"/>
    <w:rsid w:val="00191F9E"/>
    <w:rsid w:val="0019265F"/>
    <w:rsid w:val="00192726"/>
    <w:rsid w:val="00192999"/>
    <w:rsid w:val="00192F1B"/>
    <w:rsid w:val="00193068"/>
    <w:rsid w:val="001933C2"/>
    <w:rsid w:val="00194364"/>
    <w:rsid w:val="0019453B"/>
    <w:rsid w:val="00194770"/>
    <w:rsid w:val="00194E21"/>
    <w:rsid w:val="00194E29"/>
    <w:rsid w:val="0019521D"/>
    <w:rsid w:val="001952DF"/>
    <w:rsid w:val="001957F5"/>
    <w:rsid w:val="00195A19"/>
    <w:rsid w:val="00195A59"/>
    <w:rsid w:val="00196295"/>
    <w:rsid w:val="001968B8"/>
    <w:rsid w:val="001977D7"/>
    <w:rsid w:val="001977E1"/>
    <w:rsid w:val="00197F3A"/>
    <w:rsid w:val="001A0ABA"/>
    <w:rsid w:val="001A11DB"/>
    <w:rsid w:val="001A1DF1"/>
    <w:rsid w:val="001A24A1"/>
    <w:rsid w:val="001A2737"/>
    <w:rsid w:val="001A2779"/>
    <w:rsid w:val="001A2DC7"/>
    <w:rsid w:val="001A32E0"/>
    <w:rsid w:val="001A39A3"/>
    <w:rsid w:val="001A3B56"/>
    <w:rsid w:val="001A50C0"/>
    <w:rsid w:val="001A5A87"/>
    <w:rsid w:val="001A6894"/>
    <w:rsid w:val="001A698C"/>
    <w:rsid w:val="001A6BCB"/>
    <w:rsid w:val="001A6D99"/>
    <w:rsid w:val="001A6E28"/>
    <w:rsid w:val="001A7679"/>
    <w:rsid w:val="001A7779"/>
    <w:rsid w:val="001B01D3"/>
    <w:rsid w:val="001B0243"/>
    <w:rsid w:val="001B0C03"/>
    <w:rsid w:val="001B0CFF"/>
    <w:rsid w:val="001B11D2"/>
    <w:rsid w:val="001B13FF"/>
    <w:rsid w:val="001B1862"/>
    <w:rsid w:val="001B1EB4"/>
    <w:rsid w:val="001B1F6D"/>
    <w:rsid w:val="001B2066"/>
    <w:rsid w:val="001B216C"/>
    <w:rsid w:val="001B2825"/>
    <w:rsid w:val="001B2FE9"/>
    <w:rsid w:val="001B3818"/>
    <w:rsid w:val="001B3D7C"/>
    <w:rsid w:val="001B4F34"/>
    <w:rsid w:val="001B56C8"/>
    <w:rsid w:val="001B605A"/>
    <w:rsid w:val="001B60D6"/>
    <w:rsid w:val="001B6384"/>
    <w:rsid w:val="001B63C0"/>
    <w:rsid w:val="001B6453"/>
    <w:rsid w:val="001B6D2B"/>
    <w:rsid w:val="001B7251"/>
    <w:rsid w:val="001B79C2"/>
    <w:rsid w:val="001B7B27"/>
    <w:rsid w:val="001B7F80"/>
    <w:rsid w:val="001C047C"/>
    <w:rsid w:val="001C0E11"/>
    <w:rsid w:val="001C1D45"/>
    <w:rsid w:val="001C203C"/>
    <w:rsid w:val="001C2503"/>
    <w:rsid w:val="001C360F"/>
    <w:rsid w:val="001C43A3"/>
    <w:rsid w:val="001C48E4"/>
    <w:rsid w:val="001C49E1"/>
    <w:rsid w:val="001C4A4E"/>
    <w:rsid w:val="001C4BE1"/>
    <w:rsid w:val="001C5B03"/>
    <w:rsid w:val="001C6484"/>
    <w:rsid w:val="001C6E94"/>
    <w:rsid w:val="001C7B4C"/>
    <w:rsid w:val="001C7B5A"/>
    <w:rsid w:val="001C7BFB"/>
    <w:rsid w:val="001C7E7F"/>
    <w:rsid w:val="001D00F8"/>
    <w:rsid w:val="001D0186"/>
    <w:rsid w:val="001D0789"/>
    <w:rsid w:val="001D0848"/>
    <w:rsid w:val="001D0DB0"/>
    <w:rsid w:val="001D124B"/>
    <w:rsid w:val="001D146B"/>
    <w:rsid w:val="001D1687"/>
    <w:rsid w:val="001D2282"/>
    <w:rsid w:val="001D2731"/>
    <w:rsid w:val="001D3036"/>
    <w:rsid w:val="001D34C1"/>
    <w:rsid w:val="001D3B14"/>
    <w:rsid w:val="001D4095"/>
    <w:rsid w:val="001D44E8"/>
    <w:rsid w:val="001D4627"/>
    <w:rsid w:val="001D4B63"/>
    <w:rsid w:val="001D4D5E"/>
    <w:rsid w:val="001D5D49"/>
    <w:rsid w:val="001D6CFB"/>
    <w:rsid w:val="001D7327"/>
    <w:rsid w:val="001D7784"/>
    <w:rsid w:val="001D7873"/>
    <w:rsid w:val="001D7A2F"/>
    <w:rsid w:val="001D7CDF"/>
    <w:rsid w:val="001E0E10"/>
    <w:rsid w:val="001E1099"/>
    <w:rsid w:val="001E14B8"/>
    <w:rsid w:val="001E1F3B"/>
    <w:rsid w:val="001E2462"/>
    <w:rsid w:val="001E26AA"/>
    <w:rsid w:val="001E2EDA"/>
    <w:rsid w:val="001E37BA"/>
    <w:rsid w:val="001E3853"/>
    <w:rsid w:val="001E3B9A"/>
    <w:rsid w:val="001E4A7E"/>
    <w:rsid w:val="001E618F"/>
    <w:rsid w:val="001E61D9"/>
    <w:rsid w:val="001E62BB"/>
    <w:rsid w:val="001E6B41"/>
    <w:rsid w:val="001E7107"/>
    <w:rsid w:val="001E71B0"/>
    <w:rsid w:val="001E7719"/>
    <w:rsid w:val="001F064E"/>
    <w:rsid w:val="001F0EB0"/>
    <w:rsid w:val="001F197E"/>
    <w:rsid w:val="001F1ABB"/>
    <w:rsid w:val="001F1C0C"/>
    <w:rsid w:val="001F1FA7"/>
    <w:rsid w:val="001F206B"/>
    <w:rsid w:val="001F2269"/>
    <w:rsid w:val="001F2B87"/>
    <w:rsid w:val="001F2FA0"/>
    <w:rsid w:val="001F32DB"/>
    <w:rsid w:val="001F3322"/>
    <w:rsid w:val="001F356B"/>
    <w:rsid w:val="001F3897"/>
    <w:rsid w:val="001F3BC3"/>
    <w:rsid w:val="001F41B3"/>
    <w:rsid w:val="001F41CE"/>
    <w:rsid w:val="001F474D"/>
    <w:rsid w:val="001F47E7"/>
    <w:rsid w:val="001F526F"/>
    <w:rsid w:val="001F5D1F"/>
    <w:rsid w:val="001F673B"/>
    <w:rsid w:val="001F6C4F"/>
    <w:rsid w:val="001F7302"/>
    <w:rsid w:val="001F7D51"/>
    <w:rsid w:val="002013A0"/>
    <w:rsid w:val="00201706"/>
    <w:rsid w:val="00201AF2"/>
    <w:rsid w:val="002024DC"/>
    <w:rsid w:val="00202736"/>
    <w:rsid w:val="00202A65"/>
    <w:rsid w:val="00203CF7"/>
    <w:rsid w:val="00204BB6"/>
    <w:rsid w:val="00204E37"/>
    <w:rsid w:val="0020521D"/>
    <w:rsid w:val="0020525E"/>
    <w:rsid w:val="002052CE"/>
    <w:rsid w:val="002057A1"/>
    <w:rsid w:val="00205A18"/>
    <w:rsid w:val="00205DE9"/>
    <w:rsid w:val="00205ED6"/>
    <w:rsid w:val="002065A1"/>
    <w:rsid w:val="002068EA"/>
    <w:rsid w:val="002106AE"/>
    <w:rsid w:val="0021090D"/>
    <w:rsid w:val="002109BC"/>
    <w:rsid w:val="00210CEC"/>
    <w:rsid w:val="00210DCD"/>
    <w:rsid w:val="002114A1"/>
    <w:rsid w:val="0021223F"/>
    <w:rsid w:val="0021273F"/>
    <w:rsid w:val="002127AC"/>
    <w:rsid w:val="00212CC1"/>
    <w:rsid w:val="00212F3B"/>
    <w:rsid w:val="002137DC"/>
    <w:rsid w:val="0021391A"/>
    <w:rsid w:val="002139C8"/>
    <w:rsid w:val="00213AD8"/>
    <w:rsid w:val="00213D01"/>
    <w:rsid w:val="0021442A"/>
    <w:rsid w:val="002145C2"/>
    <w:rsid w:val="00215020"/>
    <w:rsid w:val="00216F78"/>
    <w:rsid w:val="00217447"/>
    <w:rsid w:val="00217957"/>
    <w:rsid w:val="00220471"/>
    <w:rsid w:val="00220F6C"/>
    <w:rsid w:val="00221148"/>
    <w:rsid w:val="00221435"/>
    <w:rsid w:val="0022147B"/>
    <w:rsid w:val="00221753"/>
    <w:rsid w:val="002218E2"/>
    <w:rsid w:val="00221BBC"/>
    <w:rsid w:val="002223E1"/>
    <w:rsid w:val="0022251F"/>
    <w:rsid w:val="0022323B"/>
    <w:rsid w:val="0022332C"/>
    <w:rsid w:val="0022349E"/>
    <w:rsid w:val="0022395D"/>
    <w:rsid w:val="00223AF3"/>
    <w:rsid w:val="00224B37"/>
    <w:rsid w:val="0022502A"/>
    <w:rsid w:val="002260F1"/>
    <w:rsid w:val="002261D5"/>
    <w:rsid w:val="002266DC"/>
    <w:rsid w:val="0022678C"/>
    <w:rsid w:val="00226834"/>
    <w:rsid w:val="00226EC2"/>
    <w:rsid w:val="00227A9E"/>
    <w:rsid w:val="00230106"/>
    <w:rsid w:val="0023050D"/>
    <w:rsid w:val="00230DEF"/>
    <w:rsid w:val="00230F56"/>
    <w:rsid w:val="00230F84"/>
    <w:rsid w:val="002314A7"/>
    <w:rsid w:val="00231695"/>
    <w:rsid w:val="00231C1F"/>
    <w:rsid w:val="0023224A"/>
    <w:rsid w:val="002329A6"/>
    <w:rsid w:val="00232A8F"/>
    <w:rsid w:val="002331C1"/>
    <w:rsid w:val="00233D1C"/>
    <w:rsid w:val="00234472"/>
    <w:rsid w:val="002349D7"/>
    <w:rsid w:val="00234B91"/>
    <w:rsid w:val="00234C93"/>
    <w:rsid w:val="00235B94"/>
    <w:rsid w:val="00235FF2"/>
    <w:rsid w:val="00236B2C"/>
    <w:rsid w:val="00236B6F"/>
    <w:rsid w:val="00236D25"/>
    <w:rsid w:val="0023745A"/>
    <w:rsid w:val="002376B7"/>
    <w:rsid w:val="002407F5"/>
    <w:rsid w:val="00240BA4"/>
    <w:rsid w:val="00241AAB"/>
    <w:rsid w:val="00241AB8"/>
    <w:rsid w:val="00241D2C"/>
    <w:rsid w:val="00241DFF"/>
    <w:rsid w:val="00241E97"/>
    <w:rsid w:val="002423E2"/>
    <w:rsid w:val="0024256F"/>
    <w:rsid w:val="002426DB"/>
    <w:rsid w:val="00242971"/>
    <w:rsid w:val="00242F06"/>
    <w:rsid w:val="00242FCC"/>
    <w:rsid w:val="002434F3"/>
    <w:rsid w:val="002435D9"/>
    <w:rsid w:val="00244EBF"/>
    <w:rsid w:val="00244F01"/>
    <w:rsid w:val="00245720"/>
    <w:rsid w:val="00245741"/>
    <w:rsid w:val="0024596B"/>
    <w:rsid w:val="00245E3F"/>
    <w:rsid w:val="0024636B"/>
    <w:rsid w:val="00246AB2"/>
    <w:rsid w:val="002503C0"/>
    <w:rsid w:val="00250783"/>
    <w:rsid w:val="00250ACB"/>
    <w:rsid w:val="0025115E"/>
    <w:rsid w:val="00251547"/>
    <w:rsid w:val="00251F41"/>
    <w:rsid w:val="002520A3"/>
    <w:rsid w:val="0025213F"/>
    <w:rsid w:val="0025251C"/>
    <w:rsid w:val="002527C4"/>
    <w:rsid w:val="00252AB9"/>
    <w:rsid w:val="00252DBB"/>
    <w:rsid w:val="00253C55"/>
    <w:rsid w:val="00253F0B"/>
    <w:rsid w:val="00253FB1"/>
    <w:rsid w:val="0025414D"/>
    <w:rsid w:val="00254BC7"/>
    <w:rsid w:val="00254FDA"/>
    <w:rsid w:val="00255838"/>
    <w:rsid w:val="00256A30"/>
    <w:rsid w:val="00256E1B"/>
    <w:rsid w:val="0025725F"/>
    <w:rsid w:val="002574E9"/>
    <w:rsid w:val="00257E68"/>
    <w:rsid w:val="00260147"/>
    <w:rsid w:val="0026029F"/>
    <w:rsid w:val="002607D6"/>
    <w:rsid w:val="00260DE7"/>
    <w:rsid w:val="00260F80"/>
    <w:rsid w:val="00261470"/>
    <w:rsid w:val="0026197D"/>
    <w:rsid w:val="00262309"/>
    <w:rsid w:val="0026280B"/>
    <w:rsid w:val="0026287E"/>
    <w:rsid w:val="00262BD7"/>
    <w:rsid w:val="002635D0"/>
    <w:rsid w:val="00263EC4"/>
    <w:rsid w:val="00264C22"/>
    <w:rsid w:val="00264C6F"/>
    <w:rsid w:val="00265D72"/>
    <w:rsid w:val="0026683E"/>
    <w:rsid w:val="00266F95"/>
    <w:rsid w:val="00267039"/>
    <w:rsid w:val="00267347"/>
    <w:rsid w:val="0027005D"/>
    <w:rsid w:val="00270819"/>
    <w:rsid w:val="002709BE"/>
    <w:rsid w:val="002715DF"/>
    <w:rsid w:val="00271CEC"/>
    <w:rsid w:val="00272701"/>
    <w:rsid w:val="00272B70"/>
    <w:rsid w:val="00272E48"/>
    <w:rsid w:val="00272EE1"/>
    <w:rsid w:val="0027300B"/>
    <w:rsid w:val="00273154"/>
    <w:rsid w:val="00273882"/>
    <w:rsid w:val="00274070"/>
    <w:rsid w:val="002740C0"/>
    <w:rsid w:val="002742B3"/>
    <w:rsid w:val="002753B9"/>
    <w:rsid w:val="002770B6"/>
    <w:rsid w:val="0027756A"/>
    <w:rsid w:val="00277AE7"/>
    <w:rsid w:val="00277CF9"/>
    <w:rsid w:val="0028034D"/>
    <w:rsid w:val="0028080A"/>
    <w:rsid w:val="00280B4D"/>
    <w:rsid w:val="00281223"/>
    <w:rsid w:val="002816C2"/>
    <w:rsid w:val="00282509"/>
    <w:rsid w:val="00282D3F"/>
    <w:rsid w:val="00283AF2"/>
    <w:rsid w:val="0028456E"/>
    <w:rsid w:val="002853EF"/>
    <w:rsid w:val="002863A8"/>
    <w:rsid w:val="00286A91"/>
    <w:rsid w:val="00286AE8"/>
    <w:rsid w:val="00290862"/>
    <w:rsid w:val="00292CD0"/>
    <w:rsid w:val="00292D1F"/>
    <w:rsid w:val="00294298"/>
    <w:rsid w:val="002942DF"/>
    <w:rsid w:val="00295238"/>
    <w:rsid w:val="00295639"/>
    <w:rsid w:val="002956E2"/>
    <w:rsid w:val="00295704"/>
    <w:rsid w:val="00295755"/>
    <w:rsid w:val="00295B82"/>
    <w:rsid w:val="00295F5F"/>
    <w:rsid w:val="002960E7"/>
    <w:rsid w:val="0029614B"/>
    <w:rsid w:val="00296512"/>
    <w:rsid w:val="00296FCF"/>
    <w:rsid w:val="00297B1B"/>
    <w:rsid w:val="002A0CD9"/>
    <w:rsid w:val="002A1415"/>
    <w:rsid w:val="002A16FF"/>
    <w:rsid w:val="002A17FC"/>
    <w:rsid w:val="002A1834"/>
    <w:rsid w:val="002A1CD9"/>
    <w:rsid w:val="002A2847"/>
    <w:rsid w:val="002A28A0"/>
    <w:rsid w:val="002A318E"/>
    <w:rsid w:val="002A4C4B"/>
    <w:rsid w:val="002A4D5D"/>
    <w:rsid w:val="002A4DFC"/>
    <w:rsid w:val="002A5198"/>
    <w:rsid w:val="002A524C"/>
    <w:rsid w:val="002A5272"/>
    <w:rsid w:val="002A535C"/>
    <w:rsid w:val="002A5603"/>
    <w:rsid w:val="002A5EDC"/>
    <w:rsid w:val="002A60C0"/>
    <w:rsid w:val="002A6357"/>
    <w:rsid w:val="002A6382"/>
    <w:rsid w:val="002A663D"/>
    <w:rsid w:val="002A6919"/>
    <w:rsid w:val="002A6D74"/>
    <w:rsid w:val="002A6E10"/>
    <w:rsid w:val="002A6E1C"/>
    <w:rsid w:val="002B0527"/>
    <w:rsid w:val="002B0A5F"/>
    <w:rsid w:val="002B0F0B"/>
    <w:rsid w:val="002B1901"/>
    <w:rsid w:val="002B1FD6"/>
    <w:rsid w:val="002B20D6"/>
    <w:rsid w:val="002B222B"/>
    <w:rsid w:val="002B265A"/>
    <w:rsid w:val="002B27B8"/>
    <w:rsid w:val="002B2F26"/>
    <w:rsid w:val="002B33AE"/>
    <w:rsid w:val="002B390A"/>
    <w:rsid w:val="002B3D54"/>
    <w:rsid w:val="002B4104"/>
    <w:rsid w:val="002B44D7"/>
    <w:rsid w:val="002B4BDE"/>
    <w:rsid w:val="002B5B84"/>
    <w:rsid w:val="002B5D89"/>
    <w:rsid w:val="002B62EA"/>
    <w:rsid w:val="002B6FCD"/>
    <w:rsid w:val="002B7551"/>
    <w:rsid w:val="002B78CA"/>
    <w:rsid w:val="002B7DC6"/>
    <w:rsid w:val="002B7ED7"/>
    <w:rsid w:val="002C0BF1"/>
    <w:rsid w:val="002C1B89"/>
    <w:rsid w:val="002C1CF5"/>
    <w:rsid w:val="002C1D70"/>
    <w:rsid w:val="002C2166"/>
    <w:rsid w:val="002C240E"/>
    <w:rsid w:val="002C32B9"/>
    <w:rsid w:val="002C3313"/>
    <w:rsid w:val="002C3352"/>
    <w:rsid w:val="002C3987"/>
    <w:rsid w:val="002C43AF"/>
    <w:rsid w:val="002C44A4"/>
    <w:rsid w:val="002C476E"/>
    <w:rsid w:val="002C4828"/>
    <w:rsid w:val="002C4B00"/>
    <w:rsid w:val="002C560D"/>
    <w:rsid w:val="002C612F"/>
    <w:rsid w:val="002C6572"/>
    <w:rsid w:val="002C6636"/>
    <w:rsid w:val="002C68F4"/>
    <w:rsid w:val="002C6D8E"/>
    <w:rsid w:val="002C6E9A"/>
    <w:rsid w:val="002C6EA8"/>
    <w:rsid w:val="002C6F31"/>
    <w:rsid w:val="002C78C3"/>
    <w:rsid w:val="002C7E75"/>
    <w:rsid w:val="002D06B7"/>
    <w:rsid w:val="002D0CC0"/>
    <w:rsid w:val="002D0E90"/>
    <w:rsid w:val="002D0F18"/>
    <w:rsid w:val="002D1E04"/>
    <w:rsid w:val="002D1EF1"/>
    <w:rsid w:val="002D2354"/>
    <w:rsid w:val="002D27A3"/>
    <w:rsid w:val="002D2E5A"/>
    <w:rsid w:val="002D3BE2"/>
    <w:rsid w:val="002D3EA1"/>
    <w:rsid w:val="002D4238"/>
    <w:rsid w:val="002D4745"/>
    <w:rsid w:val="002D48E0"/>
    <w:rsid w:val="002D49CF"/>
    <w:rsid w:val="002D4A18"/>
    <w:rsid w:val="002D4C9E"/>
    <w:rsid w:val="002D50E2"/>
    <w:rsid w:val="002D61CC"/>
    <w:rsid w:val="002D639C"/>
    <w:rsid w:val="002D63B8"/>
    <w:rsid w:val="002D65B2"/>
    <w:rsid w:val="002D70D3"/>
    <w:rsid w:val="002D7152"/>
    <w:rsid w:val="002E1611"/>
    <w:rsid w:val="002E1AA9"/>
    <w:rsid w:val="002E2DB4"/>
    <w:rsid w:val="002E3DD1"/>
    <w:rsid w:val="002E4545"/>
    <w:rsid w:val="002E48BB"/>
    <w:rsid w:val="002E4FDD"/>
    <w:rsid w:val="002E50D9"/>
    <w:rsid w:val="002E558B"/>
    <w:rsid w:val="002E558D"/>
    <w:rsid w:val="002E5ABF"/>
    <w:rsid w:val="002E6269"/>
    <w:rsid w:val="002E7070"/>
    <w:rsid w:val="002E7185"/>
    <w:rsid w:val="002E724B"/>
    <w:rsid w:val="002E7286"/>
    <w:rsid w:val="002E734C"/>
    <w:rsid w:val="002E75D9"/>
    <w:rsid w:val="002F018B"/>
    <w:rsid w:val="002F023F"/>
    <w:rsid w:val="002F0250"/>
    <w:rsid w:val="002F02A7"/>
    <w:rsid w:val="002F054A"/>
    <w:rsid w:val="002F08FC"/>
    <w:rsid w:val="002F0980"/>
    <w:rsid w:val="002F0D40"/>
    <w:rsid w:val="002F10F8"/>
    <w:rsid w:val="002F14C8"/>
    <w:rsid w:val="002F1708"/>
    <w:rsid w:val="002F2302"/>
    <w:rsid w:val="002F2BFD"/>
    <w:rsid w:val="002F2E6B"/>
    <w:rsid w:val="002F3E70"/>
    <w:rsid w:val="002F3E9D"/>
    <w:rsid w:val="002F417B"/>
    <w:rsid w:val="002F4518"/>
    <w:rsid w:val="002F4EAD"/>
    <w:rsid w:val="002F4FCC"/>
    <w:rsid w:val="002F5308"/>
    <w:rsid w:val="002F55DD"/>
    <w:rsid w:val="002F5921"/>
    <w:rsid w:val="002F5BE5"/>
    <w:rsid w:val="002F5DB4"/>
    <w:rsid w:val="002F60AD"/>
    <w:rsid w:val="002F63D7"/>
    <w:rsid w:val="002F6F49"/>
    <w:rsid w:val="002F6F96"/>
    <w:rsid w:val="002F71CE"/>
    <w:rsid w:val="003003CF"/>
    <w:rsid w:val="00300553"/>
    <w:rsid w:val="003006AA"/>
    <w:rsid w:val="00300B8E"/>
    <w:rsid w:val="00300CE7"/>
    <w:rsid w:val="0030134B"/>
    <w:rsid w:val="00301631"/>
    <w:rsid w:val="0030240B"/>
    <w:rsid w:val="0030294B"/>
    <w:rsid w:val="003029F3"/>
    <w:rsid w:val="00302BB0"/>
    <w:rsid w:val="00302D2D"/>
    <w:rsid w:val="00303B94"/>
    <w:rsid w:val="003047A6"/>
    <w:rsid w:val="0030492D"/>
    <w:rsid w:val="00304C2B"/>
    <w:rsid w:val="00304CA4"/>
    <w:rsid w:val="003056D2"/>
    <w:rsid w:val="00305F79"/>
    <w:rsid w:val="003064F2"/>
    <w:rsid w:val="003073BC"/>
    <w:rsid w:val="0030745C"/>
    <w:rsid w:val="0030754F"/>
    <w:rsid w:val="0030759D"/>
    <w:rsid w:val="00307798"/>
    <w:rsid w:val="00307F5B"/>
    <w:rsid w:val="003101BC"/>
    <w:rsid w:val="0031020A"/>
    <w:rsid w:val="00310D0E"/>
    <w:rsid w:val="00310EDD"/>
    <w:rsid w:val="0031211C"/>
    <w:rsid w:val="0031222A"/>
    <w:rsid w:val="003132AE"/>
    <w:rsid w:val="00313535"/>
    <w:rsid w:val="0031357A"/>
    <w:rsid w:val="00314315"/>
    <w:rsid w:val="00314ACA"/>
    <w:rsid w:val="003151C3"/>
    <w:rsid w:val="003156B6"/>
    <w:rsid w:val="003158BB"/>
    <w:rsid w:val="0031668B"/>
    <w:rsid w:val="00317895"/>
    <w:rsid w:val="0032017A"/>
    <w:rsid w:val="003201A2"/>
    <w:rsid w:val="00320332"/>
    <w:rsid w:val="0032069F"/>
    <w:rsid w:val="00320AE2"/>
    <w:rsid w:val="00320E25"/>
    <w:rsid w:val="00321D86"/>
    <w:rsid w:val="00322004"/>
    <w:rsid w:val="00322BEB"/>
    <w:rsid w:val="003234A6"/>
    <w:rsid w:val="00323A6F"/>
    <w:rsid w:val="00324101"/>
    <w:rsid w:val="003242E1"/>
    <w:rsid w:val="003244FC"/>
    <w:rsid w:val="003247B9"/>
    <w:rsid w:val="00324A16"/>
    <w:rsid w:val="00324D4F"/>
    <w:rsid w:val="003251FE"/>
    <w:rsid w:val="003263AF"/>
    <w:rsid w:val="003263DF"/>
    <w:rsid w:val="00326619"/>
    <w:rsid w:val="00327A77"/>
    <w:rsid w:val="00330005"/>
    <w:rsid w:val="003301C6"/>
    <w:rsid w:val="0033057B"/>
    <w:rsid w:val="00330923"/>
    <w:rsid w:val="0033134A"/>
    <w:rsid w:val="003314C1"/>
    <w:rsid w:val="003314F7"/>
    <w:rsid w:val="00331584"/>
    <w:rsid w:val="0033161C"/>
    <w:rsid w:val="00331AE7"/>
    <w:rsid w:val="0033272D"/>
    <w:rsid w:val="00333EEE"/>
    <w:rsid w:val="003341A7"/>
    <w:rsid w:val="003347B0"/>
    <w:rsid w:val="0033500E"/>
    <w:rsid w:val="00335681"/>
    <w:rsid w:val="00335FC6"/>
    <w:rsid w:val="003367EB"/>
    <w:rsid w:val="0033689F"/>
    <w:rsid w:val="00336D22"/>
    <w:rsid w:val="00337FAA"/>
    <w:rsid w:val="003401EB"/>
    <w:rsid w:val="00340D98"/>
    <w:rsid w:val="003422C9"/>
    <w:rsid w:val="00342332"/>
    <w:rsid w:val="00342CB3"/>
    <w:rsid w:val="00342D35"/>
    <w:rsid w:val="003432E6"/>
    <w:rsid w:val="003439F3"/>
    <w:rsid w:val="00343CE3"/>
    <w:rsid w:val="00343EF2"/>
    <w:rsid w:val="00344977"/>
    <w:rsid w:val="00344D30"/>
    <w:rsid w:val="003453A6"/>
    <w:rsid w:val="003453DF"/>
    <w:rsid w:val="0034562E"/>
    <w:rsid w:val="00345B40"/>
    <w:rsid w:val="00345CAF"/>
    <w:rsid w:val="00345CEC"/>
    <w:rsid w:val="00345E93"/>
    <w:rsid w:val="00345EEA"/>
    <w:rsid w:val="00346B5D"/>
    <w:rsid w:val="00346C1A"/>
    <w:rsid w:val="0034729E"/>
    <w:rsid w:val="00347AB9"/>
    <w:rsid w:val="00347E0D"/>
    <w:rsid w:val="00350169"/>
    <w:rsid w:val="00350C68"/>
    <w:rsid w:val="00351CD2"/>
    <w:rsid w:val="003525DC"/>
    <w:rsid w:val="003529B5"/>
    <w:rsid w:val="003529E9"/>
    <w:rsid w:val="003540F8"/>
    <w:rsid w:val="00354F15"/>
    <w:rsid w:val="00355C1D"/>
    <w:rsid w:val="00355CDF"/>
    <w:rsid w:val="00355E9F"/>
    <w:rsid w:val="00356784"/>
    <w:rsid w:val="00357173"/>
    <w:rsid w:val="00357341"/>
    <w:rsid w:val="0035734E"/>
    <w:rsid w:val="003575F5"/>
    <w:rsid w:val="00357856"/>
    <w:rsid w:val="00357CCF"/>
    <w:rsid w:val="00360061"/>
    <w:rsid w:val="003603DD"/>
    <w:rsid w:val="00360BF8"/>
    <w:rsid w:val="00360EF3"/>
    <w:rsid w:val="00360FAC"/>
    <w:rsid w:val="003612C0"/>
    <w:rsid w:val="00361A29"/>
    <w:rsid w:val="003625C7"/>
    <w:rsid w:val="0036281E"/>
    <w:rsid w:val="00362A0D"/>
    <w:rsid w:val="00362B30"/>
    <w:rsid w:val="00362F17"/>
    <w:rsid w:val="003638FE"/>
    <w:rsid w:val="00363A51"/>
    <w:rsid w:val="00363B58"/>
    <w:rsid w:val="003648C1"/>
    <w:rsid w:val="00364DBC"/>
    <w:rsid w:val="00364FE7"/>
    <w:rsid w:val="00365179"/>
    <w:rsid w:val="00365AC6"/>
    <w:rsid w:val="00366024"/>
    <w:rsid w:val="0036633D"/>
    <w:rsid w:val="003665B0"/>
    <w:rsid w:val="00367118"/>
    <w:rsid w:val="003674C3"/>
    <w:rsid w:val="0037097F"/>
    <w:rsid w:val="00370B39"/>
    <w:rsid w:val="003711B0"/>
    <w:rsid w:val="003715A0"/>
    <w:rsid w:val="00371B6A"/>
    <w:rsid w:val="003724E2"/>
    <w:rsid w:val="00372895"/>
    <w:rsid w:val="00373053"/>
    <w:rsid w:val="00373161"/>
    <w:rsid w:val="00373309"/>
    <w:rsid w:val="00373391"/>
    <w:rsid w:val="00373999"/>
    <w:rsid w:val="003739B9"/>
    <w:rsid w:val="00373E06"/>
    <w:rsid w:val="0037434C"/>
    <w:rsid w:val="003745DE"/>
    <w:rsid w:val="00374E2B"/>
    <w:rsid w:val="0037536F"/>
    <w:rsid w:val="00375B56"/>
    <w:rsid w:val="00375C14"/>
    <w:rsid w:val="0037628A"/>
    <w:rsid w:val="00376DC8"/>
    <w:rsid w:val="003774CC"/>
    <w:rsid w:val="00377C60"/>
    <w:rsid w:val="00377DC3"/>
    <w:rsid w:val="00380161"/>
    <w:rsid w:val="0038085A"/>
    <w:rsid w:val="0038102B"/>
    <w:rsid w:val="003816F2"/>
    <w:rsid w:val="00381E26"/>
    <w:rsid w:val="00382A6B"/>
    <w:rsid w:val="00383159"/>
    <w:rsid w:val="0038319A"/>
    <w:rsid w:val="00383BEA"/>
    <w:rsid w:val="00383EF4"/>
    <w:rsid w:val="00384578"/>
    <w:rsid w:val="003847A6"/>
    <w:rsid w:val="00384EC9"/>
    <w:rsid w:val="00385079"/>
    <w:rsid w:val="003854D9"/>
    <w:rsid w:val="00386453"/>
    <w:rsid w:val="00386FF4"/>
    <w:rsid w:val="003870EE"/>
    <w:rsid w:val="0038710A"/>
    <w:rsid w:val="003871E0"/>
    <w:rsid w:val="00390130"/>
    <w:rsid w:val="00390673"/>
    <w:rsid w:val="00391061"/>
    <w:rsid w:val="00391329"/>
    <w:rsid w:val="003915AC"/>
    <w:rsid w:val="00391669"/>
    <w:rsid w:val="00391C52"/>
    <w:rsid w:val="00391DB9"/>
    <w:rsid w:val="00391E42"/>
    <w:rsid w:val="00392908"/>
    <w:rsid w:val="00394712"/>
    <w:rsid w:val="003947B5"/>
    <w:rsid w:val="00396017"/>
    <w:rsid w:val="003968CF"/>
    <w:rsid w:val="00396DB8"/>
    <w:rsid w:val="00397022"/>
    <w:rsid w:val="00397BAD"/>
    <w:rsid w:val="003A0665"/>
    <w:rsid w:val="003A1B43"/>
    <w:rsid w:val="003A1F4E"/>
    <w:rsid w:val="003A20E0"/>
    <w:rsid w:val="003A2131"/>
    <w:rsid w:val="003A2437"/>
    <w:rsid w:val="003A2A31"/>
    <w:rsid w:val="003A44D4"/>
    <w:rsid w:val="003A47D8"/>
    <w:rsid w:val="003A4BCD"/>
    <w:rsid w:val="003A6811"/>
    <w:rsid w:val="003A6D10"/>
    <w:rsid w:val="003A72C8"/>
    <w:rsid w:val="003A7F98"/>
    <w:rsid w:val="003B00DC"/>
    <w:rsid w:val="003B063D"/>
    <w:rsid w:val="003B0959"/>
    <w:rsid w:val="003B0D34"/>
    <w:rsid w:val="003B1491"/>
    <w:rsid w:val="003B180D"/>
    <w:rsid w:val="003B1837"/>
    <w:rsid w:val="003B18FB"/>
    <w:rsid w:val="003B1979"/>
    <w:rsid w:val="003B1C7E"/>
    <w:rsid w:val="003B1CF9"/>
    <w:rsid w:val="003B23D8"/>
    <w:rsid w:val="003B251F"/>
    <w:rsid w:val="003B27AD"/>
    <w:rsid w:val="003B27DF"/>
    <w:rsid w:val="003B2A26"/>
    <w:rsid w:val="003B2BA5"/>
    <w:rsid w:val="003B2F5C"/>
    <w:rsid w:val="003B3619"/>
    <w:rsid w:val="003B3886"/>
    <w:rsid w:val="003B3D09"/>
    <w:rsid w:val="003B4187"/>
    <w:rsid w:val="003B41B1"/>
    <w:rsid w:val="003B4205"/>
    <w:rsid w:val="003B4460"/>
    <w:rsid w:val="003B4477"/>
    <w:rsid w:val="003B4A1C"/>
    <w:rsid w:val="003B4DDA"/>
    <w:rsid w:val="003B578A"/>
    <w:rsid w:val="003B5852"/>
    <w:rsid w:val="003B59E9"/>
    <w:rsid w:val="003B5CD8"/>
    <w:rsid w:val="003B604A"/>
    <w:rsid w:val="003B62C5"/>
    <w:rsid w:val="003B6834"/>
    <w:rsid w:val="003B6D15"/>
    <w:rsid w:val="003B7A8E"/>
    <w:rsid w:val="003C0C61"/>
    <w:rsid w:val="003C1450"/>
    <w:rsid w:val="003C1451"/>
    <w:rsid w:val="003C14F3"/>
    <w:rsid w:val="003C1944"/>
    <w:rsid w:val="003C1A0B"/>
    <w:rsid w:val="003C1E9B"/>
    <w:rsid w:val="003C30C1"/>
    <w:rsid w:val="003C32FB"/>
    <w:rsid w:val="003C3492"/>
    <w:rsid w:val="003C4236"/>
    <w:rsid w:val="003C42EF"/>
    <w:rsid w:val="003C458A"/>
    <w:rsid w:val="003C4C03"/>
    <w:rsid w:val="003C4FD1"/>
    <w:rsid w:val="003C50AF"/>
    <w:rsid w:val="003C5284"/>
    <w:rsid w:val="003C54D3"/>
    <w:rsid w:val="003C5FF1"/>
    <w:rsid w:val="003C612A"/>
    <w:rsid w:val="003C618E"/>
    <w:rsid w:val="003C65FC"/>
    <w:rsid w:val="003C683D"/>
    <w:rsid w:val="003C6948"/>
    <w:rsid w:val="003C6AAE"/>
    <w:rsid w:val="003C6D19"/>
    <w:rsid w:val="003C787B"/>
    <w:rsid w:val="003C7A0C"/>
    <w:rsid w:val="003D040B"/>
    <w:rsid w:val="003D0781"/>
    <w:rsid w:val="003D0D76"/>
    <w:rsid w:val="003D1B9E"/>
    <w:rsid w:val="003D22F5"/>
    <w:rsid w:val="003D28BC"/>
    <w:rsid w:val="003D2929"/>
    <w:rsid w:val="003D2FB7"/>
    <w:rsid w:val="003D309E"/>
    <w:rsid w:val="003D389C"/>
    <w:rsid w:val="003D4430"/>
    <w:rsid w:val="003D4447"/>
    <w:rsid w:val="003D455B"/>
    <w:rsid w:val="003D48D0"/>
    <w:rsid w:val="003D572A"/>
    <w:rsid w:val="003D6468"/>
    <w:rsid w:val="003D65CE"/>
    <w:rsid w:val="003D66B4"/>
    <w:rsid w:val="003D6B5F"/>
    <w:rsid w:val="003E016B"/>
    <w:rsid w:val="003E01C7"/>
    <w:rsid w:val="003E030A"/>
    <w:rsid w:val="003E0476"/>
    <w:rsid w:val="003E05D2"/>
    <w:rsid w:val="003E0AA1"/>
    <w:rsid w:val="003E0AEB"/>
    <w:rsid w:val="003E0DD2"/>
    <w:rsid w:val="003E11EE"/>
    <w:rsid w:val="003E1303"/>
    <w:rsid w:val="003E15E1"/>
    <w:rsid w:val="003E17DF"/>
    <w:rsid w:val="003E1FB5"/>
    <w:rsid w:val="003E290F"/>
    <w:rsid w:val="003E338F"/>
    <w:rsid w:val="003E38CF"/>
    <w:rsid w:val="003E455B"/>
    <w:rsid w:val="003E4E38"/>
    <w:rsid w:val="003E5900"/>
    <w:rsid w:val="003E5C8D"/>
    <w:rsid w:val="003E5F0F"/>
    <w:rsid w:val="003E6216"/>
    <w:rsid w:val="003E6360"/>
    <w:rsid w:val="003E6DD9"/>
    <w:rsid w:val="003E6FEA"/>
    <w:rsid w:val="003E723B"/>
    <w:rsid w:val="003E7A1A"/>
    <w:rsid w:val="003E7D6C"/>
    <w:rsid w:val="003E7E68"/>
    <w:rsid w:val="003F014E"/>
    <w:rsid w:val="003F12CE"/>
    <w:rsid w:val="003F16F4"/>
    <w:rsid w:val="003F1B34"/>
    <w:rsid w:val="003F1CFA"/>
    <w:rsid w:val="003F1D9F"/>
    <w:rsid w:val="003F1DF7"/>
    <w:rsid w:val="003F26D9"/>
    <w:rsid w:val="003F286D"/>
    <w:rsid w:val="003F327C"/>
    <w:rsid w:val="003F3423"/>
    <w:rsid w:val="003F3A4D"/>
    <w:rsid w:val="003F3B70"/>
    <w:rsid w:val="003F3CAB"/>
    <w:rsid w:val="003F423B"/>
    <w:rsid w:val="003F4563"/>
    <w:rsid w:val="003F53E5"/>
    <w:rsid w:val="003F557A"/>
    <w:rsid w:val="003F5857"/>
    <w:rsid w:val="003F5CB5"/>
    <w:rsid w:val="003F5F6D"/>
    <w:rsid w:val="003F6299"/>
    <w:rsid w:val="003F62E9"/>
    <w:rsid w:val="003F65F8"/>
    <w:rsid w:val="003F741C"/>
    <w:rsid w:val="003F7692"/>
    <w:rsid w:val="003F76EA"/>
    <w:rsid w:val="003F781F"/>
    <w:rsid w:val="003F7B5D"/>
    <w:rsid w:val="003F7CDC"/>
    <w:rsid w:val="003F7D3A"/>
    <w:rsid w:val="003F7EAA"/>
    <w:rsid w:val="003F7ED3"/>
    <w:rsid w:val="0040004E"/>
    <w:rsid w:val="004009C0"/>
    <w:rsid w:val="0040159F"/>
    <w:rsid w:val="00401670"/>
    <w:rsid w:val="004017E2"/>
    <w:rsid w:val="00403A6A"/>
    <w:rsid w:val="00403B25"/>
    <w:rsid w:val="00403ECD"/>
    <w:rsid w:val="00403F7A"/>
    <w:rsid w:val="00404A70"/>
    <w:rsid w:val="00405396"/>
    <w:rsid w:val="00405B20"/>
    <w:rsid w:val="00405FA7"/>
    <w:rsid w:val="004062AB"/>
    <w:rsid w:val="0040645D"/>
    <w:rsid w:val="004067FA"/>
    <w:rsid w:val="00406EC3"/>
    <w:rsid w:val="00407289"/>
    <w:rsid w:val="004076A2"/>
    <w:rsid w:val="00407BF9"/>
    <w:rsid w:val="00410644"/>
    <w:rsid w:val="004107FF"/>
    <w:rsid w:val="00411385"/>
    <w:rsid w:val="0041150E"/>
    <w:rsid w:val="004116CE"/>
    <w:rsid w:val="004126B5"/>
    <w:rsid w:val="00412722"/>
    <w:rsid w:val="0041279B"/>
    <w:rsid w:val="00413629"/>
    <w:rsid w:val="00414113"/>
    <w:rsid w:val="00414406"/>
    <w:rsid w:val="00414730"/>
    <w:rsid w:val="0041493F"/>
    <w:rsid w:val="00414F9B"/>
    <w:rsid w:val="004152DA"/>
    <w:rsid w:val="00415504"/>
    <w:rsid w:val="004158E9"/>
    <w:rsid w:val="00415947"/>
    <w:rsid w:val="00415D06"/>
    <w:rsid w:val="00415E47"/>
    <w:rsid w:val="004162D3"/>
    <w:rsid w:val="00416B0A"/>
    <w:rsid w:val="00417703"/>
    <w:rsid w:val="004216EB"/>
    <w:rsid w:val="004218A3"/>
    <w:rsid w:val="00422480"/>
    <w:rsid w:val="004224B3"/>
    <w:rsid w:val="00423DDE"/>
    <w:rsid w:val="00423DE8"/>
    <w:rsid w:val="00423F50"/>
    <w:rsid w:val="00424212"/>
    <w:rsid w:val="0042428F"/>
    <w:rsid w:val="004242CA"/>
    <w:rsid w:val="00424961"/>
    <w:rsid w:val="00424A02"/>
    <w:rsid w:val="00424EFF"/>
    <w:rsid w:val="00425414"/>
    <w:rsid w:val="004255E1"/>
    <w:rsid w:val="0042573E"/>
    <w:rsid w:val="004258CB"/>
    <w:rsid w:val="00425E4A"/>
    <w:rsid w:val="00425E5C"/>
    <w:rsid w:val="00425E9C"/>
    <w:rsid w:val="00425F11"/>
    <w:rsid w:val="00426624"/>
    <w:rsid w:val="004268A7"/>
    <w:rsid w:val="0042695C"/>
    <w:rsid w:val="00426BCC"/>
    <w:rsid w:val="0042702B"/>
    <w:rsid w:val="00427399"/>
    <w:rsid w:val="00427B67"/>
    <w:rsid w:val="00431D2B"/>
    <w:rsid w:val="0043239F"/>
    <w:rsid w:val="004325BC"/>
    <w:rsid w:val="00432862"/>
    <w:rsid w:val="00432ED6"/>
    <w:rsid w:val="00433336"/>
    <w:rsid w:val="00433717"/>
    <w:rsid w:val="0043471E"/>
    <w:rsid w:val="0043491D"/>
    <w:rsid w:val="00434946"/>
    <w:rsid w:val="0043543C"/>
    <w:rsid w:val="0043576A"/>
    <w:rsid w:val="00435D8B"/>
    <w:rsid w:val="004363CB"/>
    <w:rsid w:val="0043644C"/>
    <w:rsid w:val="00436B81"/>
    <w:rsid w:val="00436DB5"/>
    <w:rsid w:val="004372FE"/>
    <w:rsid w:val="004374EE"/>
    <w:rsid w:val="004376F1"/>
    <w:rsid w:val="00437D61"/>
    <w:rsid w:val="00440654"/>
    <w:rsid w:val="004406F5"/>
    <w:rsid w:val="0044078E"/>
    <w:rsid w:val="00440819"/>
    <w:rsid w:val="00440BDB"/>
    <w:rsid w:val="00440D1D"/>
    <w:rsid w:val="00441050"/>
    <w:rsid w:val="004414DF"/>
    <w:rsid w:val="004418D5"/>
    <w:rsid w:val="00441F96"/>
    <w:rsid w:val="0044227A"/>
    <w:rsid w:val="00442BC2"/>
    <w:rsid w:val="00442CEA"/>
    <w:rsid w:val="00442FF5"/>
    <w:rsid w:val="00443B09"/>
    <w:rsid w:val="004440EA"/>
    <w:rsid w:val="004441E8"/>
    <w:rsid w:val="00444690"/>
    <w:rsid w:val="00444F8A"/>
    <w:rsid w:val="00445615"/>
    <w:rsid w:val="004459D3"/>
    <w:rsid w:val="00445B1A"/>
    <w:rsid w:val="00445E8D"/>
    <w:rsid w:val="00446163"/>
    <w:rsid w:val="00446383"/>
    <w:rsid w:val="00446434"/>
    <w:rsid w:val="00446786"/>
    <w:rsid w:val="00446A9B"/>
    <w:rsid w:val="00446E34"/>
    <w:rsid w:val="00447AC9"/>
    <w:rsid w:val="00447C8B"/>
    <w:rsid w:val="004500B5"/>
    <w:rsid w:val="004504C2"/>
    <w:rsid w:val="004517D8"/>
    <w:rsid w:val="0045196E"/>
    <w:rsid w:val="00451FEF"/>
    <w:rsid w:val="00452A84"/>
    <w:rsid w:val="00452DA9"/>
    <w:rsid w:val="00453523"/>
    <w:rsid w:val="00453758"/>
    <w:rsid w:val="00453BBF"/>
    <w:rsid w:val="00453EA1"/>
    <w:rsid w:val="004543F6"/>
    <w:rsid w:val="0045442E"/>
    <w:rsid w:val="004548B5"/>
    <w:rsid w:val="00454D8B"/>
    <w:rsid w:val="00455008"/>
    <w:rsid w:val="004550AA"/>
    <w:rsid w:val="004554F4"/>
    <w:rsid w:val="00455540"/>
    <w:rsid w:val="00455B1F"/>
    <w:rsid w:val="00455C76"/>
    <w:rsid w:val="00455C7B"/>
    <w:rsid w:val="00455E49"/>
    <w:rsid w:val="00456698"/>
    <w:rsid w:val="00456D34"/>
    <w:rsid w:val="00456FFF"/>
    <w:rsid w:val="00457315"/>
    <w:rsid w:val="00457D0B"/>
    <w:rsid w:val="00457F52"/>
    <w:rsid w:val="00460179"/>
    <w:rsid w:val="0046162A"/>
    <w:rsid w:val="0046217F"/>
    <w:rsid w:val="00462311"/>
    <w:rsid w:val="00462A27"/>
    <w:rsid w:val="00463024"/>
    <w:rsid w:val="00463112"/>
    <w:rsid w:val="00463824"/>
    <w:rsid w:val="00463B59"/>
    <w:rsid w:val="00463CE5"/>
    <w:rsid w:val="004654B8"/>
    <w:rsid w:val="00465987"/>
    <w:rsid w:val="00465ADD"/>
    <w:rsid w:val="00465EDE"/>
    <w:rsid w:val="00467092"/>
    <w:rsid w:val="0046793B"/>
    <w:rsid w:val="00467A9B"/>
    <w:rsid w:val="00470683"/>
    <w:rsid w:val="00470699"/>
    <w:rsid w:val="004707BF"/>
    <w:rsid w:val="00470BFD"/>
    <w:rsid w:val="00470F33"/>
    <w:rsid w:val="004710AC"/>
    <w:rsid w:val="0047150F"/>
    <w:rsid w:val="004718C8"/>
    <w:rsid w:val="004718E6"/>
    <w:rsid w:val="00471BA9"/>
    <w:rsid w:val="004733FE"/>
    <w:rsid w:val="00473400"/>
    <w:rsid w:val="00473A35"/>
    <w:rsid w:val="00473A84"/>
    <w:rsid w:val="004741B3"/>
    <w:rsid w:val="0047430C"/>
    <w:rsid w:val="00474821"/>
    <w:rsid w:val="00474C2C"/>
    <w:rsid w:val="00474D5B"/>
    <w:rsid w:val="00474E56"/>
    <w:rsid w:val="0047511E"/>
    <w:rsid w:val="00475A42"/>
    <w:rsid w:val="00476705"/>
    <w:rsid w:val="00476EB4"/>
    <w:rsid w:val="004773ED"/>
    <w:rsid w:val="004776B5"/>
    <w:rsid w:val="00477728"/>
    <w:rsid w:val="00477AF9"/>
    <w:rsid w:val="0048000E"/>
    <w:rsid w:val="00480537"/>
    <w:rsid w:val="004807ED"/>
    <w:rsid w:val="00480EEA"/>
    <w:rsid w:val="00481034"/>
    <w:rsid w:val="0048106E"/>
    <w:rsid w:val="0048120F"/>
    <w:rsid w:val="00481DA7"/>
    <w:rsid w:val="004821B9"/>
    <w:rsid w:val="00482205"/>
    <w:rsid w:val="004831F4"/>
    <w:rsid w:val="00483601"/>
    <w:rsid w:val="00483E49"/>
    <w:rsid w:val="00484307"/>
    <w:rsid w:val="0048437E"/>
    <w:rsid w:val="00484532"/>
    <w:rsid w:val="00484AC1"/>
    <w:rsid w:val="00485076"/>
    <w:rsid w:val="004850B9"/>
    <w:rsid w:val="004862E5"/>
    <w:rsid w:val="00486977"/>
    <w:rsid w:val="0048744D"/>
    <w:rsid w:val="0048775A"/>
    <w:rsid w:val="00490265"/>
    <w:rsid w:val="00490462"/>
    <w:rsid w:val="0049051D"/>
    <w:rsid w:val="004909EF"/>
    <w:rsid w:val="0049192C"/>
    <w:rsid w:val="00491AE9"/>
    <w:rsid w:val="00492A6E"/>
    <w:rsid w:val="00492C8B"/>
    <w:rsid w:val="00494759"/>
    <w:rsid w:val="00494A7D"/>
    <w:rsid w:val="00494CDC"/>
    <w:rsid w:val="0049509D"/>
    <w:rsid w:val="00495687"/>
    <w:rsid w:val="00495C0B"/>
    <w:rsid w:val="00495D56"/>
    <w:rsid w:val="00495DDD"/>
    <w:rsid w:val="00496024"/>
    <w:rsid w:val="00496269"/>
    <w:rsid w:val="004962AA"/>
    <w:rsid w:val="0049676A"/>
    <w:rsid w:val="00496D31"/>
    <w:rsid w:val="004972EA"/>
    <w:rsid w:val="00497682"/>
    <w:rsid w:val="004979E5"/>
    <w:rsid w:val="00497E8F"/>
    <w:rsid w:val="004A0117"/>
    <w:rsid w:val="004A0236"/>
    <w:rsid w:val="004A06B9"/>
    <w:rsid w:val="004A0924"/>
    <w:rsid w:val="004A0C96"/>
    <w:rsid w:val="004A0F0B"/>
    <w:rsid w:val="004A1FE9"/>
    <w:rsid w:val="004A216D"/>
    <w:rsid w:val="004A2CD9"/>
    <w:rsid w:val="004A317D"/>
    <w:rsid w:val="004A349C"/>
    <w:rsid w:val="004A366D"/>
    <w:rsid w:val="004A3909"/>
    <w:rsid w:val="004A3C4F"/>
    <w:rsid w:val="004A3FCB"/>
    <w:rsid w:val="004A435A"/>
    <w:rsid w:val="004A436E"/>
    <w:rsid w:val="004A44BA"/>
    <w:rsid w:val="004A44E2"/>
    <w:rsid w:val="004A466D"/>
    <w:rsid w:val="004A475D"/>
    <w:rsid w:val="004A4788"/>
    <w:rsid w:val="004A5072"/>
    <w:rsid w:val="004A5591"/>
    <w:rsid w:val="004A5CB6"/>
    <w:rsid w:val="004A5EF7"/>
    <w:rsid w:val="004A60D3"/>
    <w:rsid w:val="004A7B95"/>
    <w:rsid w:val="004A7CE4"/>
    <w:rsid w:val="004B01DA"/>
    <w:rsid w:val="004B01F9"/>
    <w:rsid w:val="004B090C"/>
    <w:rsid w:val="004B11C0"/>
    <w:rsid w:val="004B1F54"/>
    <w:rsid w:val="004B1FC4"/>
    <w:rsid w:val="004B2120"/>
    <w:rsid w:val="004B239E"/>
    <w:rsid w:val="004B28B1"/>
    <w:rsid w:val="004B35D4"/>
    <w:rsid w:val="004B3A98"/>
    <w:rsid w:val="004B3B4D"/>
    <w:rsid w:val="004B3D95"/>
    <w:rsid w:val="004B5050"/>
    <w:rsid w:val="004B5395"/>
    <w:rsid w:val="004B557D"/>
    <w:rsid w:val="004B5B23"/>
    <w:rsid w:val="004B6546"/>
    <w:rsid w:val="004B691F"/>
    <w:rsid w:val="004B74F4"/>
    <w:rsid w:val="004B78CC"/>
    <w:rsid w:val="004B7B1C"/>
    <w:rsid w:val="004B7DEA"/>
    <w:rsid w:val="004B7F97"/>
    <w:rsid w:val="004C05EC"/>
    <w:rsid w:val="004C1768"/>
    <w:rsid w:val="004C177A"/>
    <w:rsid w:val="004C1E4D"/>
    <w:rsid w:val="004C1E86"/>
    <w:rsid w:val="004C24B7"/>
    <w:rsid w:val="004C2591"/>
    <w:rsid w:val="004C26F5"/>
    <w:rsid w:val="004C3549"/>
    <w:rsid w:val="004C384E"/>
    <w:rsid w:val="004C3865"/>
    <w:rsid w:val="004C4AC5"/>
    <w:rsid w:val="004C4D5D"/>
    <w:rsid w:val="004C5529"/>
    <w:rsid w:val="004C5837"/>
    <w:rsid w:val="004C6713"/>
    <w:rsid w:val="004C6DEA"/>
    <w:rsid w:val="004C7CA6"/>
    <w:rsid w:val="004D04E3"/>
    <w:rsid w:val="004D1569"/>
    <w:rsid w:val="004D1603"/>
    <w:rsid w:val="004D1731"/>
    <w:rsid w:val="004D2156"/>
    <w:rsid w:val="004D283F"/>
    <w:rsid w:val="004D287C"/>
    <w:rsid w:val="004D29D7"/>
    <w:rsid w:val="004D2A7D"/>
    <w:rsid w:val="004D3724"/>
    <w:rsid w:val="004D3762"/>
    <w:rsid w:val="004D37F1"/>
    <w:rsid w:val="004D397F"/>
    <w:rsid w:val="004D3CEA"/>
    <w:rsid w:val="004D41A3"/>
    <w:rsid w:val="004D436C"/>
    <w:rsid w:val="004D4CB0"/>
    <w:rsid w:val="004D4D20"/>
    <w:rsid w:val="004D4F79"/>
    <w:rsid w:val="004D5016"/>
    <w:rsid w:val="004D5638"/>
    <w:rsid w:val="004D575A"/>
    <w:rsid w:val="004D586C"/>
    <w:rsid w:val="004D5886"/>
    <w:rsid w:val="004D5B64"/>
    <w:rsid w:val="004D6796"/>
    <w:rsid w:val="004D6E1F"/>
    <w:rsid w:val="004D76D4"/>
    <w:rsid w:val="004D7AE3"/>
    <w:rsid w:val="004D7FCF"/>
    <w:rsid w:val="004E00D0"/>
    <w:rsid w:val="004E05AE"/>
    <w:rsid w:val="004E08A8"/>
    <w:rsid w:val="004E0EB9"/>
    <w:rsid w:val="004E252F"/>
    <w:rsid w:val="004E254D"/>
    <w:rsid w:val="004E3107"/>
    <w:rsid w:val="004E3AF0"/>
    <w:rsid w:val="004E3C3B"/>
    <w:rsid w:val="004E3FD5"/>
    <w:rsid w:val="004E44D4"/>
    <w:rsid w:val="004E4A99"/>
    <w:rsid w:val="004E52A5"/>
    <w:rsid w:val="004E541E"/>
    <w:rsid w:val="004E57FB"/>
    <w:rsid w:val="004E58A1"/>
    <w:rsid w:val="004E5B6B"/>
    <w:rsid w:val="004E62A3"/>
    <w:rsid w:val="004E634A"/>
    <w:rsid w:val="004E6CCC"/>
    <w:rsid w:val="004E75ED"/>
    <w:rsid w:val="004E787A"/>
    <w:rsid w:val="004E7C63"/>
    <w:rsid w:val="004F00AA"/>
    <w:rsid w:val="004F0804"/>
    <w:rsid w:val="004F0C9F"/>
    <w:rsid w:val="004F1311"/>
    <w:rsid w:val="004F1CBB"/>
    <w:rsid w:val="004F1EBA"/>
    <w:rsid w:val="004F215E"/>
    <w:rsid w:val="004F23CE"/>
    <w:rsid w:val="004F31D5"/>
    <w:rsid w:val="004F39B8"/>
    <w:rsid w:val="004F3D34"/>
    <w:rsid w:val="004F3D74"/>
    <w:rsid w:val="004F43E2"/>
    <w:rsid w:val="004F44FB"/>
    <w:rsid w:val="004F45D8"/>
    <w:rsid w:val="004F4746"/>
    <w:rsid w:val="004F4EC9"/>
    <w:rsid w:val="004F50F2"/>
    <w:rsid w:val="004F54A1"/>
    <w:rsid w:val="004F54CE"/>
    <w:rsid w:val="004F643E"/>
    <w:rsid w:val="004F6B4F"/>
    <w:rsid w:val="004F7032"/>
    <w:rsid w:val="004F78B4"/>
    <w:rsid w:val="00500530"/>
    <w:rsid w:val="00500555"/>
    <w:rsid w:val="0050088A"/>
    <w:rsid w:val="00500B98"/>
    <w:rsid w:val="00500BCB"/>
    <w:rsid w:val="00500C1F"/>
    <w:rsid w:val="00500F5F"/>
    <w:rsid w:val="00501243"/>
    <w:rsid w:val="00501C98"/>
    <w:rsid w:val="00501CBF"/>
    <w:rsid w:val="00501EAB"/>
    <w:rsid w:val="00502459"/>
    <w:rsid w:val="005027F2"/>
    <w:rsid w:val="00502937"/>
    <w:rsid w:val="00502B10"/>
    <w:rsid w:val="00502DFA"/>
    <w:rsid w:val="00502ED2"/>
    <w:rsid w:val="0050362C"/>
    <w:rsid w:val="00504186"/>
    <w:rsid w:val="00504E03"/>
    <w:rsid w:val="005050C0"/>
    <w:rsid w:val="0050562E"/>
    <w:rsid w:val="00506617"/>
    <w:rsid w:val="005068D4"/>
    <w:rsid w:val="00506DF7"/>
    <w:rsid w:val="005071D7"/>
    <w:rsid w:val="005075DE"/>
    <w:rsid w:val="00507B7A"/>
    <w:rsid w:val="005102A6"/>
    <w:rsid w:val="0051032F"/>
    <w:rsid w:val="005108F2"/>
    <w:rsid w:val="00510D20"/>
    <w:rsid w:val="0051140A"/>
    <w:rsid w:val="005117DF"/>
    <w:rsid w:val="00511AF5"/>
    <w:rsid w:val="00511FC4"/>
    <w:rsid w:val="005120A3"/>
    <w:rsid w:val="005121A1"/>
    <w:rsid w:val="00512204"/>
    <w:rsid w:val="00512975"/>
    <w:rsid w:val="00512A1E"/>
    <w:rsid w:val="00512B3C"/>
    <w:rsid w:val="00512DE4"/>
    <w:rsid w:val="005135BE"/>
    <w:rsid w:val="0051361A"/>
    <w:rsid w:val="00513B47"/>
    <w:rsid w:val="005142F9"/>
    <w:rsid w:val="00514AD4"/>
    <w:rsid w:val="00514C78"/>
    <w:rsid w:val="005151F2"/>
    <w:rsid w:val="00515302"/>
    <w:rsid w:val="005153FB"/>
    <w:rsid w:val="005154B9"/>
    <w:rsid w:val="00516C1D"/>
    <w:rsid w:val="00516E42"/>
    <w:rsid w:val="00516E85"/>
    <w:rsid w:val="00516FFF"/>
    <w:rsid w:val="00517114"/>
    <w:rsid w:val="00517AD8"/>
    <w:rsid w:val="00517B00"/>
    <w:rsid w:val="00517D12"/>
    <w:rsid w:val="005207AF"/>
    <w:rsid w:val="005208EA"/>
    <w:rsid w:val="0052092D"/>
    <w:rsid w:val="00520E66"/>
    <w:rsid w:val="00520F10"/>
    <w:rsid w:val="00520FEC"/>
    <w:rsid w:val="00521CD1"/>
    <w:rsid w:val="0052241B"/>
    <w:rsid w:val="005225DB"/>
    <w:rsid w:val="00522790"/>
    <w:rsid w:val="00522919"/>
    <w:rsid w:val="00522E1F"/>
    <w:rsid w:val="00522F21"/>
    <w:rsid w:val="00523115"/>
    <w:rsid w:val="00523B14"/>
    <w:rsid w:val="00523C66"/>
    <w:rsid w:val="005240C0"/>
    <w:rsid w:val="00524C56"/>
    <w:rsid w:val="00524E2E"/>
    <w:rsid w:val="00524E87"/>
    <w:rsid w:val="00525357"/>
    <w:rsid w:val="00525416"/>
    <w:rsid w:val="00525DBB"/>
    <w:rsid w:val="0052649A"/>
    <w:rsid w:val="0052666B"/>
    <w:rsid w:val="00527210"/>
    <w:rsid w:val="005273A6"/>
    <w:rsid w:val="005279AC"/>
    <w:rsid w:val="00527FFC"/>
    <w:rsid w:val="005305A9"/>
    <w:rsid w:val="005307D1"/>
    <w:rsid w:val="00530DCB"/>
    <w:rsid w:val="00531F8C"/>
    <w:rsid w:val="00532297"/>
    <w:rsid w:val="005323D8"/>
    <w:rsid w:val="0053260D"/>
    <w:rsid w:val="00532FE2"/>
    <w:rsid w:val="0053348A"/>
    <w:rsid w:val="0053424F"/>
    <w:rsid w:val="005342B4"/>
    <w:rsid w:val="0053468C"/>
    <w:rsid w:val="0053472E"/>
    <w:rsid w:val="00534ACF"/>
    <w:rsid w:val="00535239"/>
    <w:rsid w:val="00535449"/>
    <w:rsid w:val="00535799"/>
    <w:rsid w:val="005357C9"/>
    <w:rsid w:val="00535F19"/>
    <w:rsid w:val="00535F41"/>
    <w:rsid w:val="005371D5"/>
    <w:rsid w:val="00537377"/>
    <w:rsid w:val="00540408"/>
    <w:rsid w:val="005406DB"/>
    <w:rsid w:val="00540707"/>
    <w:rsid w:val="00540A31"/>
    <w:rsid w:val="00540BD0"/>
    <w:rsid w:val="00541528"/>
    <w:rsid w:val="00541628"/>
    <w:rsid w:val="005419B9"/>
    <w:rsid w:val="00541C65"/>
    <w:rsid w:val="005421C1"/>
    <w:rsid w:val="005428BB"/>
    <w:rsid w:val="00543B63"/>
    <w:rsid w:val="00544544"/>
    <w:rsid w:val="0054506E"/>
    <w:rsid w:val="0054562E"/>
    <w:rsid w:val="00545B10"/>
    <w:rsid w:val="00545D9A"/>
    <w:rsid w:val="00545FC2"/>
    <w:rsid w:val="00546D9E"/>
    <w:rsid w:val="00547963"/>
    <w:rsid w:val="00550046"/>
    <w:rsid w:val="0055054E"/>
    <w:rsid w:val="005505CE"/>
    <w:rsid w:val="0055088E"/>
    <w:rsid w:val="00550AB1"/>
    <w:rsid w:val="00550C42"/>
    <w:rsid w:val="00550FCA"/>
    <w:rsid w:val="00551B25"/>
    <w:rsid w:val="00552798"/>
    <w:rsid w:val="00552CA2"/>
    <w:rsid w:val="0055344B"/>
    <w:rsid w:val="00553E50"/>
    <w:rsid w:val="00554492"/>
    <w:rsid w:val="0055449A"/>
    <w:rsid w:val="005545E9"/>
    <w:rsid w:val="00554AD4"/>
    <w:rsid w:val="0055504B"/>
    <w:rsid w:val="00555280"/>
    <w:rsid w:val="0055570A"/>
    <w:rsid w:val="005557D9"/>
    <w:rsid w:val="00555BD7"/>
    <w:rsid w:val="00555DD9"/>
    <w:rsid w:val="0055729C"/>
    <w:rsid w:val="00557592"/>
    <w:rsid w:val="00557CB3"/>
    <w:rsid w:val="00557E59"/>
    <w:rsid w:val="00557FEC"/>
    <w:rsid w:val="00560C64"/>
    <w:rsid w:val="00560D1F"/>
    <w:rsid w:val="00560F68"/>
    <w:rsid w:val="00561411"/>
    <w:rsid w:val="00561A4D"/>
    <w:rsid w:val="00561AFB"/>
    <w:rsid w:val="00561B08"/>
    <w:rsid w:val="00561CC5"/>
    <w:rsid w:val="005624C0"/>
    <w:rsid w:val="00562613"/>
    <w:rsid w:val="00563412"/>
    <w:rsid w:val="00563FCC"/>
    <w:rsid w:val="00564FD0"/>
    <w:rsid w:val="00565175"/>
    <w:rsid w:val="0056563D"/>
    <w:rsid w:val="00566E7A"/>
    <w:rsid w:val="00567929"/>
    <w:rsid w:val="00567C01"/>
    <w:rsid w:val="00567DD0"/>
    <w:rsid w:val="00567E84"/>
    <w:rsid w:val="00570927"/>
    <w:rsid w:val="00570934"/>
    <w:rsid w:val="00571D45"/>
    <w:rsid w:val="00572652"/>
    <w:rsid w:val="00572A7F"/>
    <w:rsid w:val="0057333E"/>
    <w:rsid w:val="00573628"/>
    <w:rsid w:val="00573E5A"/>
    <w:rsid w:val="005740F9"/>
    <w:rsid w:val="005755E7"/>
    <w:rsid w:val="00575808"/>
    <w:rsid w:val="005759A6"/>
    <w:rsid w:val="005762FC"/>
    <w:rsid w:val="00576550"/>
    <w:rsid w:val="00576869"/>
    <w:rsid w:val="00576D7C"/>
    <w:rsid w:val="00576FC8"/>
    <w:rsid w:val="005770A6"/>
    <w:rsid w:val="0057769D"/>
    <w:rsid w:val="00577713"/>
    <w:rsid w:val="00577A2D"/>
    <w:rsid w:val="00577A65"/>
    <w:rsid w:val="00577BD3"/>
    <w:rsid w:val="00577EE6"/>
    <w:rsid w:val="0058041B"/>
    <w:rsid w:val="005806AB"/>
    <w:rsid w:val="005809E8"/>
    <w:rsid w:val="00580E00"/>
    <w:rsid w:val="00580FED"/>
    <w:rsid w:val="00581657"/>
    <w:rsid w:val="0058287F"/>
    <w:rsid w:val="00582A91"/>
    <w:rsid w:val="00582CC9"/>
    <w:rsid w:val="00583E4E"/>
    <w:rsid w:val="00584605"/>
    <w:rsid w:val="005849A1"/>
    <w:rsid w:val="00585243"/>
    <w:rsid w:val="00585460"/>
    <w:rsid w:val="00585A9A"/>
    <w:rsid w:val="0058624E"/>
    <w:rsid w:val="00586775"/>
    <w:rsid w:val="00586CF5"/>
    <w:rsid w:val="00586D97"/>
    <w:rsid w:val="00586F9C"/>
    <w:rsid w:val="005900C7"/>
    <w:rsid w:val="005903DE"/>
    <w:rsid w:val="005905F3"/>
    <w:rsid w:val="00591317"/>
    <w:rsid w:val="00591586"/>
    <w:rsid w:val="00591746"/>
    <w:rsid w:val="00591FD1"/>
    <w:rsid w:val="005925B6"/>
    <w:rsid w:val="00592B7A"/>
    <w:rsid w:val="00593364"/>
    <w:rsid w:val="00593B0C"/>
    <w:rsid w:val="00593CA1"/>
    <w:rsid w:val="00594263"/>
    <w:rsid w:val="00594BCF"/>
    <w:rsid w:val="00594C41"/>
    <w:rsid w:val="00594DBC"/>
    <w:rsid w:val="005950B1"/>
    <w:rsid w:val="00595167"/>
    <w:rsid w:val="00595EAC"/>
    <w:rsid w:val="0059664A"/>
    <w:rsid w:val="00596BB4"/>
    <w:rsid w:val="00596C8A"/>
    <w:rsid w:val="0059724D"/>
    <w:rsid w:val="005973C8"/>
    <w:rsid w:val="00597762"/>
    <w:rsid w:val="005A0053"/>
    <w:rsid w:val="005A03E2"/>
    <w:rsid w:val="005A0F63"/>
    <w:rsid w:val="005A12EE"/>
    <w:rsid w:val="005A139D"/>
    <w:rsid w:val="005A1981"/>
    <w:rsid w:val="005A234C"/>
    <w:rsid w:val="005A287A"/>
    <w:rsid w:val="005A2C92"/>
    <w:rsid w:val="005A336D"/>
    <w:rsid w:val="005A3573"/>
    <w:rsid w:val="005A3887"/>
    <w:rsid w:val="005A4C3F"/>
    <w:rsid w:val="005A53B3"/>
    <w:rsid w:val="005A553A"/>
    <w:rsid w:val="005A5742"/>
    <w:rsid w:val="005A57C6"/>
    <w:rsid w:val="005A59B6"/>
    <w:rsid w:val="005A5EBB"/>
    <w:rsid w:val="005A65C1"/>
    <w:rsid w:val="005A6CBE"/>
    <w:rsid w:val="005A6E14"/>
    <w:rsid w:val="005A6E16"/>
    <w:rsid w:val="005A7CCD"/>
    <w:rsid w:val="005B011A"/>
    <w:rsid w:val="005B038D"/>
    <w:rsid w:val="005B07D5"/>
    <w:rsid w:val="005B0B04"/>
    <w:rsid w:val="005B0CAB"/>
    <w:rsid w:val="005B101E"/>
    <w:rsid w:val="005B1138"/>
    <w:rsid w:val="005B11EB"/>
    <w:rsid w:val="005B14A2"/>
    <w:rsid w:val="005B1B99"/>
    <w:rsid w:val="005B21D2"/>
    <w:rsid w:val="005B2213"/>
    <w:rsid w:val="005B23FB"/>
    <w:rsid w:val="005B2434"/>
    <w:rsid w:val="005B267A"/>
    <w:rsid w:val="005B27B5"/>
    <w:rsid w:val="005B300D"/>
    <w:rsid w:val="005B331F"/>
    <w:rsid w:val="005B365A"/>
    <w:rsid w:val="005B37E7"/>
    <w:rsid w:val="005B3911"/>
    <w:rsid w:val="005B4D9F"/>
    <w:rsid w:val="005B4E7D"/>
    <w:rsid w:val="005B55BB"/>
    <w:rsid w:val="005B5813"/>
    <w:rsid w:val="005B597E"/>
    <w:rsid w:val="005B5E0A"/>
    <w:rsid w:val="005B6129"/>
    <w:rsid w:val="005B64B9"/>
    <w:rsid w:val="005B6825"/>
    <w:rsid w:val="005B6A9B"/>
    <w:rsid w:val="005B79D6"/>
    <w:rsid w:val="005C10A8"/>
    <w:rsid w:val="005C2244"/>
    <w:rsid w:val="005C25CF"/>
    <w:rsid w:val="005C31A7"/>
    <w:rsid w:val="005C3798"/>
    <w:rsid w:val="005C397A"/>
    <w:rsid w:val="005C423D"/>
    <w:rsid w:val="005C4959"/>
    <w:rsid w:val="005C4BDD"/>
    <w:rsid w:val="005C4C2A"/>
    <w:rsid w:val="005C506A"/>
    <w:rsid w:val="005C5430"/>
    <w:rsid w:val="005C5CFD"/>
    <w:rsid w:val="005C5D07"/>
    <w:rsid w:val="005C5F07"/>
    <w:rsid w:val="005C66F9"/>
    <w:rsid w:val="005C68E4"/>
    <w:rsid w:val="005C6D9F"/>
    <w:rsid w:val="005C6E0F"/>
    <w:rsid w:val="005C6E24"/>
    <w:rsid w:val="005C7278"/>
    <w:rsid w:val="005C74D3"/>
    <w:rsid w:val="005C7636"/>
    <w:rsid w:val="005C7DCD"/>
    <w:rsid w:val="005C7EBD"/>
    <w:rsid w:val="005D0460"/>
    <w:rsid w:val="005D1014"/>
    <w:rsid w:val="005D280B"/>
    <w:rsid w:val="005D324B"/>
    <w:rsid w:val="005D3969"/>
    <w:rsid w:val="005D3ED9"/>
    <w:rsid w:val="005D40A5"/>
    <w:rsid w:val="005D4816"/>
    <w:rsid w:val="005D4817"/>
    <w:rsid w:val="005D483D"/>
    <w:rsid w:val="005D4FBE"/>
    <w:rsid w:val="005D51BD"/>
    <w:rsid w:val="005D52F4"/>
    <w:rsid w:val="005D548B"/>
    <w:rsid w:val="005D5BE6"/>
    <w:rsid w:val="005D6ABB"/>
    <w:rsid w:val="005D7FAF"/>
    <w:rsid w:val="005E0B32"/>
    <w:rsid w:val="005E10D6"/>
    <w:rsid w:val="005E11D1"/>
    <w:rsid w:val="005E166E"/>
    <w:rsid w:val="005E1E6B"/>
    <w:rsid w:val="005E1F15"/>
    <w:rsid w:val="005E2FA1"/>
    <w:rsid w:val="005E3338"/>
    <w:rsid w:val="005E34FF"/>
    <w:rsid w:val="005E3876"/>
    <w:rsid w:val="005E3AC9"/>
    <w:rsid w:val="005E3F08"/>
    <w:rsid w:val="005E43C0"/>
    <w:rsid w:val="005E48CF"/>
    <w:rsid w:val="005E4F37"/>
    <w:rsid w:val="005E56F6"/>
    <w:rsid w:val="005E5E0B"/>
    <w:rsid w:val="005E66D2"/>
    <w:rsid w:val="005E7FD1"/>
    <w:rsid w:val="005F0096"/>
    <w:rsid w:val="005F089C"/>
    <w:rsid w:val="005F1204"/>
    <w:rsid w:val="005F1D6A"/>
    <w:rsid w:val="005F1EFC"/>
    <w:rsid w:val="005F2B0A"/>
    <w:rsid w:val="005F2EC0"/>
    <w:rsid w:val="005F3249"/>
    <w:rsid w:val="005F364B"/>
    <w:rsid w:val="005F442E"/>
    <w:rsid w:val="005F4498"/>
    <w:rsid w:val="005F4703"/>
    <w:rsid w:val="005F4864"/>
    <w:rsid w:val="005F4966"/>
    <w:rsid w:val="005F5423"/>
    <w:rsid w:val="005F54A1"/>
    <w:rsid w:val="005F563B"/>
    <w:rsid w:val="005F5B38"/>
    <w:rsid w:val="005F6B82"/>
    <w:rsid w:val="005F6B8B"/>
    <w:rsid w:val="005F70D1"/>
    <w:rsid w:val="005F7710"/>
    <w:rsid w:val="005F776A"/>
    <w:rsid w:val="005F7EA2"/>
    <w:rsid w:val="0060016C"/>
    <w:rsid w:val="00600C9E"/>
    <w:rsid w:val="00600D2E"/>
    <w:rsid w:val="00601011"/>
    <w:rsid w:val="00601024"/>
    <w:rsid w:val="006010D6"/>
    <w:rsid w:val="00601537"/>
    <w:rsid w:val="0060194D"/>
    <w:rsid w:val="00601CF1"/>
    <w:rsid w:val="00601DBB"/>
    <w:rsid w:val="00602BD1"/>
    <w:rsid w:val="00602E31"/>
    <w:rsid w:val="006032AD"/>
    <w:rsid w:val="00603347"/>
    <w:rsid w:val="00603F1E"/>
    <w:rsid w:val="006042ED"/>
    <w:rsid w:val="00604B36"/>
    <w:rsid w:val="00604BE2"/>
    <w:rsid w:val="00604EC6"/>
    <w:rsid w:val="00604EF2"/>
    <w:rsid w:val="00605375"/>
    <w:rsid w:val="006056C3"/>
    <w:rsid w:val="00606014"/>
    <w:rsid w:val="00606471"/>
    <w:rsid w:val="00606917"/>
    <w:rsid w:val="00606BB9"/>
    <w:rsid w:val="00606C2A"/>
    <w:rsid w:val="00606E0F"/>
    <w:rsid w:val="006074F2"/>
    <w:rsid w:val="006074FF"/>
    <w:rsid w:val="006079A9"/>
    <w:rsid w:val="00607B63"/>
    <w:rsid w:val="00607DDA"/>
    <w:rsid w:val="006100E8"/>
    <w:rsid w:val="00610BA5"/>
    <w:rsid w:val="00610EF1"/>
    <w:rsid w:val="0061172D"/>
    <w:rsid w:val="00611C9F"/>
    <w:rsid w:val="00612037"/>
    <w:rsid w:val="00612A34"/>
    <w:rsid w:val="006130A6"/>
    <w:rsid w:val="006130D5"/>
    <w:rsid w:val="006133CA"/>
    <w:rsid w:val="00613A6B"/>
    <w:rsid w:val="00614436"/>
    <w:rsid w:val="00614761"/>
    <w:rsid w:val="0061477E"/>
    <w:rsid w:val="00614FA5"/>
    <w:rsid w:val="0061564C"/>
    <w:rsid w:val="00616281"/>
    <w:rsid w:val="006168D1"/>
    <w:rsid w:val="00617287"/>
    <w:rsid w:val="00617A22"/>
    <w:rsid w:val="00617D22"/>
    <w:rsid w:val="00617FA7"/>
    <w:rsid w:val="00620850"/>
    <w:rsid w:val="00621200"/>
    <w:rsid w:val="006215D1"/>
    <w:rsid w:val="006216F5"/>
    <w:rsid w:val="006218A1"/>
    <w:rsid w:val="00622443"/>
    <w:rsid w:val="0062249D"/>
    <w:rsid w:val="00622CA9"/>
    <w:rsid w:val="00622E52"/>
    <w:rsid w:val="00623D31"/>
    <w:rsid w:val="00623D48"/>
    <w:rsid w:val="00624077"/>
    <w:rsid w:val="006244C3"/>
    <w:rsid w:val="0062459B"/>
    <w:rsid w:val="0062468C"/>
    <w:rsid w:val="006248FE"/>
    <w:rsid w:val="00624E79"/>
    <w:rsid w:val="00625F02"/>
    <w:rsid w:val="0062608B"/>
    <w:rsid w:val="006262B8"/>
    <w:rsid w:val="00626560"/>
    <w:rsid w:val="00626646"/>
    <w:rsid w:val="00626993"/>
    <w:rsid w:val="006269F1"/>
    <w:rsid w:val="00626F50"/>
    <w:rsid w:val="00627523"/>
    <w:rsid w:val="0062752C"/>
    <w:rsid w:val="00627D59"/>
    <w:rsid w:val="006300D8"/>
    <w:rsid w:val="00630276"/>
    <w:rsid w:val="0063066F"/>
    <w:rsid w:val="006307F7"/>
    <w:rsid w:val="00630A7E"/>
    <w:rsid w:val="0063101E"/>
    <w:rsid w:val="00631AB1"/>
    <w:rsid w:val="0063231B"/>
    <w:rsid w:val="0063301A"/>
    <w:rsid w:val="006334C6"/>
    <w:rsid w:val="006336D9"/>
    <w:rsid w:val="00633721"/>
    <w:rsid w:val="00633ACD"/>
    <w:rsid w:val="00633DD5"/>
    <w:rsid w:val="00634500"/>
    <w:rsid w:val="0063492D"/>
    <w:rsid w:val="0063566D"/>
    <w:rsid w:val="00635D59"/>
    <w:rsid w:val="00636263"/>
    <w:rsid w:val="00636CB2"/>
    <w:rsid w:val="00636F68"/>
    <w:rsid w:val="0063732C"/>
    <w:rsid w:val="00637E74"/>
    <w:rsid w:val="006403E9"/>
    <w:rsid w:val="006405F2"/>
    <w:rsid w:val="00640687"/>
    <w:rsid w:val="00640EFD"/>
    <w:rsid w:val="00640F31"/>
    <w:rsid w:val="00641103"/>
    <w:rsid w:val="00641248"/>
    <w:rsid w:val="0064248D"/>
    <w:rsid w:val="00642AC1"/>
    <w:rsid w:val="00642D66"/>
    <w:rsid w:val="00642DAA"/>
    <w:rsid w:val="00643195"/>
    <w:rsid w:val="00643492"/>
    <w:rsid w:val="0064409B"/>
    <w:rsid w:val="00645159"/>
    <w:rsid w:val="0064538B"/>
    <w:rsid w:val="0064561B"/>
    <w:rsid w:val="00647798"/>
    <w:rsid w:val="00647838"/>
    <w:rsid w:val="00647B2D"/>
    <w:rsid w:val="006503D0"/>
    <w:rsid w:val="00650533"/>
    <w:rsid w:val="00650A86"/>
    <w:rsid w:val="00650E11"/>
    <w:rsid w:val="006517F7"/>
    <w:rsid w:val="0065231D"/>
    <w:rsid w:val="006523E7"/>
    <w:rsid w:val="006529F7"/>
    <w:rsid w:val="00652C0E"/>
    <w:rsid w:val="00652D45"/>
    <w:rsid w:val="0065357A"/>
    <w:rsid w:val="0065433E"/>
    <w:rsid w:val="00654481"/>
    <w:rsid w:val="006546D8"/>
    <w:rsid w:val="00654C25"/>
    <w:rsid w:val="00654CF8"/>
    <w:rsid w:val="006555F8"/>
    <w:rsid w:val="00655744"/>
    <w:rsid w:val="00655754"/>
    <w:rsid w:val="0065575D"/>
    <w:rsid w:val="00655CB7"/>
    <w:rsid w:val="006561C9"/>
    <w:rsid w:val="00656437"/>
    <w:rsid w:val="00657110"/>
    <w:rsid w:val="006572C0"/>
    <w:rsid w:val="0066068E"/>
    <w:rsid w:val="00660703"/>
    <w:rsid w:val="00660DD4"/>
    <w:rsid w:val="00660EDC"/>
    <w:rsid w:val="00661AFB"/>
    <w:rsid w:val="00661B0C"/>
    <w:rsid w:val="00661B88"/>
    <w:rsid w:val="00662202"/>
    <w:rsid w:val="006627E1"/>
    <w:rsid w:val="0066286B"/>
    <w:rsid w:val="00662A57"/>
    <w:rsid w:val="00662EB3"/>
    <w:rsid w:val="006633B0"/>
    <w:rsid w:val="00663919"/>
    <w:rsid w:val="00663A97"/>
    <w:rsid w:val="00663BBA"/>
    <w:rsid w:val="00663D6F"/>
    <w:rsid w:val="00663D77"/>
    <w:rsid w:val="00664288"/>
    <w:rsid w:val="00664746"/>
    <w:rsid w:val="006651EC"/>
    <w:rsid w:val="00665B9B"/>
    <w:rsid w:val="00665D5D"/>
    <w:rsid w:val="006660C9"/>
    <w:rsid w:val="00666508"/>
    <w:rsid w:val="0066663D"/>
    <w:rsid w:val="00666809"/>
    <w:rsid w:val="00666DFB"/>
    <w:rsid w:val="006671AF"/>
    <w:rsid w:val="00667309"/>
    <w:rsid w:val="00667CB4"/>
    <w:rsid w:val="00667D2C"/>
    <w:rsid w:val="00667DD5"/>
    <w:rsid w:val="00670737"/>
    <w:rsid w:val="00670739"/>
    <w:rsid w:val="00670AB5"/>
    <w:rsid w:val="00671256"/>
    <w:rsid w:val="00671632"/>
    <w:rsid w:val="0067205E"/>
    <w:rsid w:val="006727C8"/>
    <w:rsid w:val="00672BCF"/>
    <w:rsid w:val="00673324"/>
    <w:rsid w:val="00673401"/>
    <w:rsid w:val="00673729"/>
    <w:rsid w:val="00673A7A"/>
    <w:rsid w:val="00673CD9"/>
    <w:rsid w:val="00673F20"/>
    <w:rsid w:val="006744D7"/>
    <w:rsid w:val="0067454E"/>
    <w:rsid w:val="00675359"/>
    <w:rsid w:val="006755B8"/>
    <w:rsid w:val="00675B64"/>
    <w:rsid w:val="00676031"/>
    <w:rsid w:val="0067617E"/>
    <w:rsid w:val="0067684C"/>
    <w:rsid w:val="00676AD3"/>
    <w:rsid w:val="00676DA0"/>
    <w:rsid w:val="00677123"/>
    <w:rsid w:val="00677786"/>
    <w:rsid w:val="00680724"/>
    <w:rsid w:val="00680BD9"/>
    <w:rsid w:val="006818FD"/>
    <w:rsid w:val="00681DA1"/>
    <w:rsid w:val="00681DAF"/>
    <w:rsid w:val="006824E4"/>
    <w:rsid w:val="00682B55"/>
    <w:rsid w:val="006837B8"/>
    <w:rsid w:val="006837CD"/>
    <w:rsid w:val="00684020"/>
    <w:rsid w:val="0068423A"/>
    <w:rsid w:val="00685A8F"/>
    <w:rsid w:val="00685CA8"/>
    <w:rsid w:val="00685D9E"/>
    <w:rsid w:val="00685EE0"/>
    <w:rsid w:val="00685FA0"/>
    <w:rsid w:val="0068647D"/>
    <w:rsid w:val="006864F6"/>
    <w:rsid w:val="00687283"/>
    <w:rsid w:val="0068765B"/>
    <w:rsid w:val="006876BB"/>
    <w:rsid w:val="00687F53"/>
    <w:rsid w:val="006900AD"/>
    <w:rsid w:val="00690885"/>
    <w:rsid w:val="00690C15"/>
    <w:rsid w:val="00691496"/>
    <w:rsid w:val="00691904"/>
    <w:rsid w:val="00691AB0"/>
    <w:rsid w:val="00691C86"/>
    <w:rsid w:val="006925DD"/>
    <w:rsid w:val="00693016"/>
    <w:rsid w:val="006931FA"/>
    <w:rsid w:val="00693953"/>
    <w:rsid w:val="00693A53"/>
    <w:rsid w:val="006942B3"/>
    <w:rsid w:val="006942EB"/>
    <w:rsid w:val="00694458"/>
    <w:rsid w:val="00694556"/>
    <w:rsid w:val="00694F9B"/>
    <w:rsid w:val="006953BC"/>
    <w:rsid w:val="00695410"/>
    <w:rsid w:val="006955FB"/>
    <w:rsid w:val="00695C0E"/>
    <w:rsid w:val="00695D46"/>
    <w:rsid w:val="00695E72"/>
    <w:rsid w:val="0069616C"/>
    <w:rsid w:val="00696248"/>
    <w:rsid w:val="0069703B"/>
    <w:rsid w:val="0069775A"/>
    <w:rsid w:val="006977DA"/>
    <w:rsid w:val="00697936"/>
    <w:rsid w:val="00697DE7"/>
    <w:rsid w:val="00697E34"/>
    <w:rsid w:val="006A095F"/>
    <w:rsid w:val="006A0B19"/>
    <w:rsid w:val="006A0C10"/>
    <w:rsid w:val="006A0ED7"/>
    <w:rsid w:val="006A10ED"/>
    <w:rsid w:val="006A119E"/>
    <w:rsid w:val="006A181B"/>
    <w:rsid w:val="006A18FA"/>
    <w:rsid w:val="006A263B"/>
    <w:rsid w:val="006A26F0"/>
    <w:rsid w:val="006A2E89"/>
    <w:rsid w:val="006A347C"/>
    <w:rsid w:val="006A3831"/>
    <w:rsid w:val="006A3EA5"/>
    <w:rsid w:val="006A4E7F"/>
    <w:rsid w:val="006A5801"/>
    <w:rsid w:val="006A5FD6"/>
    <w:rsid w:val="006A6BBE"/>
    <w:rsid w:val="006A72B7"/>
    <w:rsid w:val="006A735F"/>
    <w:rsid w:val="006A744A"/>
    <w:rsid w:val="006B01E3"/>
    <w:rsid w:val="006B0756"/>
    <w:rsid w:val="006B0B82"/>
    <w:rsid w:val="006B115E"/>
    <w:rsid w:val="006B1426"/>
    <w:rsid w:val="006B145C"/>
    <w:rsid w:val="006B1CBF"/>
    <w:rsid w:val="006B1E53"/>
    <w:rsid w:val="006B27CF"/>
    <w:rsid w:val="006B28D6"/>
    <w:rsid w:val="006B2B78"/>
    <w:rsid w:val="006B309F"/>
    <w:rsid w:val="006B334B"/>
    <w:rsid w:val="006B39EF"/>
    <w:rsid w:val="006B3B13"/>
    <w:rsid w:val="006B3D9B"/>
    <w:rsid w:val="006B4D84"/>
    <w:rsid w:val="006B4D9B"/>
    <w:rsid w:val="006B4E89"/>
    <w:rsid w:val="006B5544"/>
    <w:rsid w:val="006B55AA"/>
    <w:rsid w:val="006B5997"/>
    <w:rsid w:val="006B5F2A"/>
    <w:rsid w:val="006B6E17"/>
    <w:rsid w:val="006B6F42"/>
    <w:rsid w:val="006B7008"/>
    <w:rsid w:val="006B7818"/>
    <w:rsid w:val="006B7850"/>
    <w:rsid w:val="006B7C7D"/>
    <w:rsid w:val="006C0080"/>
    <w:rsid w:val="006C0AA9"/>
    <w:rsid w:val="006C0EA9"/>
    <w:rsid w:val="006C0EF4"/>
    <w:rsid w:val="006C104B"/>
    <w:rsid w:val="006C16EB"/>
    <w:rsid w:val="006C252D"/>
    <w:rsid w:val="006C2B9D"/>
    <w:rsid w:val="006C2EDB"/>
    <w:rsid w:val="006C3F5C"/>
    <w:rsid w:val="006C4165"/>
    <w:rsid w:val="006C488B"/>
    <w:rsid w:val="006C49C7"/>
    <w:rsid w:val="006C50DB"/>
    <w:rsid w:val="006C5907"/>
    <w:rsid w:val="006C5C04"/>
    <w:rsid w:val="006C63F2"/>
    <w:rsid w:val="006C64C2"/>
    <w:rsid w:val="006C68AB"/>
    <w:rsid w:val="006C6C5F"/>
    <w:rsid w:val="006C6C88"/>
    <w:rsid w:val="006C6E5E"/>
    <w:rsid w:val="006C7238"/>
    <w:rsid w:val="006D002F"/>
    <w:rsid w:val="006D01F1"/>
    <w:rsid w:val="006D0788"/>
    <w:rsid w:val="006D07F1"/>
    <w:rsid w:val="006D115E"/>
    <w:rsid w:val="006D13F4"/>
    <w:rsid w:val="006D1ED9"/>
    <w:rsid w:val="006D1F41"/>
    <w:rsid w:val="006D1F42"/>
    <w:rsid w:val="006D1FB1"/>
    <w:rsid w:val="006D28E1"/>
    <w:rsid w:val="006D2F38"/>
    <w:rsid w:val="006D35B1"/>
    <w:rsid w:val="006D3A85"/>
    <w:rsid w:val="006D3B22"/>
    <w:rsid w:val="006D3BAA"/>
    <w:rsid w:val="006D3C5F"/>
    <w:rsid w:val="006D3CC6"/>
    <w:rsid w:val="006D4506"/>
    <w:rsid w:val="006D4AC3"/>
    <w:rsid w:val="006D4B48"/>
    <w:rsid w:val="006D4C20"/>
    <w:rsid w:val="006D6A26"/>
    <w:rsid w:val="006D6CD3"/>
    <w:rsid w:val="006D74D2"/>
    <w:rsid w:val="006D7644"/>
    <w:rsid w:val="006D7D35"/>
    <w:rsid w:val="006E0042"/>
    <w:rsid w:val="006E08B8"/>
    <w:rsid w:val="006E0CC0"/>
    <w:rsid w:val="006E1973"/>
    <w:rsid w:val="006E1BC6"/>
    <w:rsid w:val="006E1CB0"/>
    <w:rsid w:val="006E2284"/>
    <w:rsid w:val="006E32F9"/>
    <w:rsid w:val="006E34F7"/>
    <w:rsid w:val="006E47CC"/>
    <w:rsid w:val="006E4A07"/>
    <w:rsid w:val="006E4B7A"/>
    <w:rsid w:val="006E5113"/>
    <w:rsid w:val="006E5A32"/>
    <w:rsid w:val="006E65F7"/>
    <w:rsid w:val="006E6CCC"/>
    <w:rsid w:val="006E6DAB"/>
    <w:rsid w:val="006E6DE6"/>
    <w:rsid w:val="006E7A36"/>
    <w:rsid w:val="006E7F10"/>
    <w:rsid w:val="006F08A7"/>
    <w:rsid w:val="006F0F76"/>
    <w:rsid w:val="006F1888"/>
    <w:rsid w:val="006F1972"/>
    <w:rsid w:val="006F1CC4"/>
    <w:rsid w:val="006F236E"/>
    <w:rsid w:val="006F23CC"/>
    <w:rsid w:val="006F2DE2"/>
    <w:rsid w:val="006F2F51"/>
    <w:rsid w:val="006F3F53"/>
    <w:rsid w:val="006F4411"/>
    <w:rsid w:val="006F50B4"/>
    <w:rsid w:val="006F59A0"/>
    <w:rsid w:val="006F5A8A"/>
    <w:rsid w:val="006F5DFF"/>
    <w:rsid w:val="006F6447"/>
    <w:rsid w:val="006F64EF"/>
    <w:rsid w:val="006F68C6"/>
    <w:rsid w:val="006F6B96"/>
    <w:rsid w:val="006F6D54"/>
    <w:rsid w:val="006F757D"/>
    <w:rsid w:val="0070005F"/>
    <w:rsid w:val="00700B36"/>
    <w:rsid w:val="007016C4"/>
    <w:rsid w:val="00701D16"/>
    <w:rsid w:val="00702369"/>
    <w:rsid w:val="0070247F"/>
    <w:rsid w:val="00702DD1"/>
    <w:rsid w:val="007040DA"/>
    <w:rsid w:val="007040F5"/>
    <w:rsid w:val="00704518"/>
    <w:rsid w:val="00704AF8"/>
    <w:rsid w:val="00705151"/>
    <w:rsid w:val="00705ACD"/>
    <w:rsid w:val="0070696B"/>
    <w:rsid w:val="007070E9"/>
    <w:rsid w:val="007070EE"/>
    <w:rsid w:val="00707645"/>
    <w:rsid w:val="00707891"/>
    <w:rsid w:val="007078E6"/>
    <w:rsid w:val="00707A30"/>
    <w:rsid w:val="00707BDF"/>
    <w:rsid w:val="0071017C"/>
    <w:rsid w:val="0071057E"/>
    <w:rsid w:val="00710E8A"/>
    <w:rsid w:val="0071167C"/>
    <w:rsid w:val="007123CA"/>
    <w:rsid w:val="007137A6"/>
    <w:rsid w:val="00713815"/>
    <w:rsid w:val="00713BC8"/>
    <w:rsid w:val="00713DE6"/>
    <w:rsid w:val="00713F31"/>
    <w:rsid w:val="007144C3"/>
    <w:rsid w:val="0071457D"/>
    <w:rsid w:val="0071483E"/>
    <w:rsid w:val="00714D1E"/>
    <w:rsid w:val="00715801"/>
    <w:rsid w:val="00715A17"/>
    <w:rsid w:val="00715D55"/>
    <w:rsid w:val="00715E75"/>
    <w:rsid w:val="00716639"/>
    <w:rsid w:val="00716671"/>
    <w:rsid w:val="00716BA5"/>
    <w:rsid w:val="00716BED"/>
    <w:rsid w:val="007175B7"/>
    <w:rsid w:val="007175C7"/>
    <w:rsid w:val="00717840"/>
    <w:rsid w:val="007178C6"/>
    <w:rsid w:val="00720957"/>
    <w:rsid w:val="00721396"/>
    <w:rsid w:val="0072140A"/>
    <w:rsid w:val="00721A45"/>
    <w:rsid w:val="00721A88"/>
    <w:rsid w:val="0072233C"/>
    <w:rsid w:val="00722958"/>
    <w:rsid w:val="00722B71"/>
    <w:rsid w:val="00723280"/>
    <w:rsid w:val="0072359E"/>
    <w:rsid w:val="00723A4E"/>
    <w:rsid w:val="00723C0E"/>
    <w:rsid w:val="00724134"/>
    <w:rsid w:val="0072416E"/>
    <w:rsid w:val="00724CFC"/>
    <w:rsid w:val="00724F76"/>
    <w:rsid w:val="00724F80"/>
    <w:rsid w:val="0072584F"/>
    <w:rsid w:val="0072638C"/>
    <w:rsid w:val="00726F71"/>
    <w:rsid w:val="00726FF9"/>
    <w:rsid w:val="007271ED"/>
    <w:rsid w:val="007273C1"/>
    <w:rsid w:val="00727408"/>
    <w:rsid w:val="007275CF"/>
    <w:rsid w:val="007279AD"/>
    <w:rsid w:val="00727CA1"/>
    <w:rsid w:val="00730FDC"/>
    <w:rsid w:val="007312C7"/>
    <w:rsid w:val="00731988"/>
    <w:rsid w:val="007319F0"/>
    <w:rsid w:val="00731E4C"/>
    <w:rsid w:val="00731F5A"/>
    <w:rsid w:val="007322F8"/>
    <w:rsid w:val="00732453"/>
    <w:rsid w:val="00732B5D"/>
    <w:rsid w:val="00732C4F"/>
    <w:rsid w:val="0073343B"/>
    <w:rsid w:val="00734998"/>
    <w:rsid w:val="00735A73"/>
    <w:rsid w:val="00735B5B"/>
    <w:rsid w:val="007362F9"/>
    <w:rsid w:val="007364EB"/>
    <w:rsid w:val="007368F8"/>
    <w:rsid w:val="00736FE8"/>
    <w:rsid w:val="00737544"/>
    <w:rsid w:val="007375B2"/>
    <w:rsid w:val="00737763"/>
    <w:rsid w:val="007378E7"/>
    <w:rsid w:val="00737C46"/>
    <w:rsid w:val="007404D6"/>
    <w:rsid w:val="00740A7E"/>
    <w:rsid w:val="00740C76"/>
    <w:rsid w:val="00740D68"/>
    <w:rsid w:val="00741102"/>
    <w:rsid w:val="007412B0"/>
    <w:rsid w:val="007412DA"/>
    <w:rsid w:val="007412F8"/>
    <w:rsid w:val="00741FD1"/>
    <w:rsid w:val="007420DC"/>
    <w:rsid w:val="0074258E"/>
    <w:rsid w:val="007426B8"/>
    <w:rsid w:val="007436EF"/>
    <w:rsid w:val="00744536"/>
    <w:rsid w:val="00744D15"/>
    <w:rsid w:val="00744EC6"/>
    <w:rsid w:val="00744F34"/>
    <w:rsid w:val="007451A7"/>
    <w:rsid w:val="007451D8"/>
    <w:rsid w:val="0074559F"/>
    <w:rsid w:val="00745643"/>
    <w:rsid w:val="00745DDB"/>
    <w:rsid w:val="00746AF9"/>
    <w:rsid w:val="00746B3F"/>
    <w:rsid w:val="0074750B"/>
    <w:rsid w:val="007477B9"/>
    <w:rsid w:val="00747D95"/>
    <w:rsid w:val="0075043A"/>
    <w:rsid w:val="00750AF8"/>
    <w:rsid w:val="00750FEE"/>
    <w:rsid w:val="00751ABC"/>
    <w:rsid w:val="00751B7E"/>
    <w:rsid w:val="00752444"/>
    <w:rsid w:val="00752961"/>
    <w:rsid w:val="0075306D"/>
    <w:rsid w:val="00753B43"/>
    <w:rsid w:val="00754023"/>
    <w:rsid w:val="00754213"/>
    <w:rsid w:val="00754543"/>
    <w:rsid w:val="00755696"/>
    <w:rsid w:val="00755821"/>
    <w:rsid w:val="00755ABC"/>
    <w:rsid w:val="00755DFC"/>
    <w:rsid w:val="00756A68"/>
    <w:rsid w:val="00757432"/>
    <w:rsid w:val="007574D3"/>
    <w:rsid w:val="00760B65"/>
    <w:rsid w:val="00760CE7"/>
    <w:rsid w:val="00760CF6"/>
    <w:rsid w:val="00761659"/>
    <w:rsid w:val="0076165E"/>
    <w:rsid w:val="00761C50"/>
    <w:rsid w:val="00761DF9"/>
    <w:rsid w:val="00761E47"/>
    <w:rsid w:val="00763061"/>
    <w:rsid w:val="00763346"/>
    <w:rsid w:val="00763AF4"/>
    <w:rsid w:val="0076401E"/>
    <w:rsid w:val="00764518"/>
    <w:rsid w:val="007647A7"/>
    <w:rsid w:val="00765B10"/>
    <w:rsid w:val="00765C4C"/>
    <w:rsid w:val="0076626D"/>
    <w:rsid w:val="00766692"/>
    <w:rsid w:val="00766705"/>
    <w:rsid w:val="00767548"/>
    <w:rsid w:val="0076796D"/>
    <w:rsid w:val="00770327"/>
    <w:rsid w:val="007704CA"/>
    <w:rsid w:val="00770C41"/>
    <w:rsid w:val="0077165B"/>
    <w:rsid w:val="00771807"/>
    <w:rsid w:val="007719E2"/>
    <w:rsid w:val="007726EB"/>
    <w:rsid w:val="00772F99"/>
    <w:rsid w:val="007736A6"/>
    <w:rsid w:val="007738DE"/>
    <w:rsid w:val="00774038"/>
    <w:rsid w:val="007745BC"/>
    <w:rsid w:val="00775176"/>
    <w:rsid w:val="00775918"/>
    <w:rsid w:val="00776A95"/>
    <w:rsid w:val="00777020"/>
    <w:rsid w:val="0077704F"/>
    <w:rsid w:val="007770E9"/>
    <w:rsid w:val="00777854"/>
    <w:rsid w:val="00777E40"/>
    <w:rsid w:val="00780294"/>
    <w:rsid w:val="007803F8"/>
    <w:rsid w:val="00780787"/>
    <w:rsid w:val="00780BEB"/>
    <w:rsid w:val="00781CBF"/>
    <w:rsid w:val="00781DBE"/>
    <w:rsid w:val="00782024"/>
    <w:rsid w:val="0078210D"/>
    <w:rsid w:val="007821A9"/>
    <w:rsid w:val="00782257"/>
    <w:rsid w:val="0078245B"/>
    <w:rsid w:val="00782978"/>
    <w:rsid w:val="0078303E"/>
    <w:rsid w:val="00783384"/>
    <w:rsid w:val="007834B0"/>
    <w:rsid w:val="00783AC8"/>
    <w:rsid w:val="00783FE3"/>
    <w:rsid w:val="00785706"/>
    <w:rsid w:val="00785955"/>
    <w:rsid w:val="00785977"/>
    <w:rsid w:val="00785BB5"/>
    <w:rsid w:val="00785E55"/>
    <w:rsid w:val="007860CC"/>
    <w:rsid w:val="007861A5"/>
    <w:rsid w:val="00786314"/>
    <w:rsid w:val="007866F1"/>
    <w:rsid w:val="00786D99"/>
    <w:rsid w:val="007905EB"/>
    <w:rsid w:val="00790772"/>
    <w:rsid w:val="00790A72"/>
    <w:rsid w:val="00792A6F"/>
    <w:rsid w:val="00792B1C"/>
    <w:rsid w:val="00792BD9"/>
    <w:rsid w:val="007935FB"/>
    <w:rsid w:val="00793EA2"/>
    <w:rsid w:val="00794270"/>
    <w:rsid w:val="00795CAF"/>
    <w:rsid w:val="00795E37"/>
    <w:rsid w:val="0079602A"/>
    <w:rsid w:val="0079656C"/>
    <w:rsid w:val="00796B5D"/>
    <w:rsid w:val="007979AE"/>
    <w:rsid w:val="00797B8C"/>
    <w:rsid w:val="00797CCC"/>
    <w:rsid w:val="00797E00"/>
    <w:rsid w:val="00797E82"/>
    <w:rsid w:val="00797F2F"/>
    <w:rsid w:val="007A003A"/>
    <w:rsid w:val="007A0EFA"/>
    <w:rsid w:val="007A11A5"/>
    <w:rsid w:val="007A13AD"/>
    <w:rsid w:val="007A18F0"/>
    <w:rsid w:val="007A2516"/>
    <w:rsid w:val="007A26FF"/>
    <w:rsid w:val="007A3AC3"/>
    <w:rsid w:val="007A3CA2"/>
    <w:rsid w:val="007A3FB2"/>
    <w:rsid w:val="007A53F1"/>
    <w:rsid w:val="007A6392"/>
    <w:rsid w:val="007A63A9"/>
    <w:rsid w:val="007A6AB5"/>
    <w:rsid w:val="007A6B3B"/>
    <w:rsid w:val="007A7735"/>
    <w:rsid w:val="007A7DC6"/>
    <w:rsid w:val="007B049E"/>
    <w:rsid w:val="007B065B"/>
    <w:rsid w:val="007B0909"/>
    <w:rsid w:val="007B0FC6"/>
    <w:rsid w:val="007B1421"/>
    <w:rsid w:val="007B1689"/>
    <w:rsid w:val="007B1946"/>
    <w:rsid w:val="007B1949"/>
    <w:rsid w:val="007B1D95"/>
    <w:rsid w:val="007B23B5"/>
    <w:rsid w:val="007B251A"/>
    <w:rsid w:val="007B2680"/>
    <w:rsid w:val="007B3DE6"/>
    <w:rsid w:val="007B400D"/>
    <w:rsid w:val="007B4D8A"/>
    <w:rsid w:val="007B545D"/>
    <w:rsid w:val="007B5844"/>
    <w:rsid w:val="007B5F85"/>
    <w:rsid w:val="007B62D6"/>
    <w:rsid w:val="007B6724"/>
    <w:rsid w:val="007B6E75"/>
    <w:rsid w:val="007B71D5"/>
    <w:rsid w:val="007B75B1"/>
    <w:rsid w:val="007B7F75"/>
    <w:rsid w:val="007C00F9"/>
    <w:rsid w:val="007C03A3"/>
    <w:rsid w:val="007C0771"/>
    <w:rsid w:val="007C0AF6"/>
    <w:rsid w:val="007C1352"/>
    <w:rsid w:val="007C1BA4"/>
    <w:rsid w:val="007C1C21"/>
    <w:rsid w:val="007C2BFE"/>
    <w:rsid w:val="007C2E33"/>
    <w:rsid w:val="007C376D"/>
    <w:rsid w:val="007C3E7D"/>
    <w:rsid w:val="007C3F34"/>
    <w:rsid w:val="007C4531"/>
    <w:rsid w:val="007C474A"/>
    <w:rsid w:val="007C5880"/>
    <w:rsid w:val="007C6429"/>
    <w:rsid w:val="007C6624"/>
    <w:rsid w:val="007C6D66"/>
    <w:rsid w:val="007D051A"/>
    <w:rsid w:val="007D12EF"/>
    <w:rsid w:val="007D29AE"/>
    <w:rsid w:val="007D2CCE"/>
    <w:rsid w:val="007D36CF"/>
    <w:rsid w:val="007D3779"/>
    <w:rsid w:val="007D3797"/>
    <w:rsid w:val="007D3BCB"/>
    <w:rsid w:val="007D41A4"/>
    <w:rsid w:val="007D4E97"/>
    <w:rsid w:val="007D5040"/>
    <w:rsid w:val="007D55CE"/>
    <w:rsid w:val="007D5CDE"/>
    <w:rsid w:val="007D5CF1"/>
    <w:rsid w:val="007D602F"/>
    <w:rsid w:val="007D61BA"/>
    <w:rsid w:val="007D61D3"/>
    <w:rsid w:val="007D65CB"/>
    <w:rsid w:val="007D6941"/>
    <w:rsid w:val="007D73D7"/>
    <w:rsid w:val="007E02AE"/>
    <w:rsid w:val="007E033D"/>
    <w:rsid w:val="007E0976"/>
    <w:rsid w:val="007E1409"/>
    <w:rsid w:val="007E17B8"/>
    <w:rsid w:val="007E1909"/>
    <w:rsid w:val="007E1D23"/>
    <w:rsid w:val="007E2459"/>
    <w:rsid w:val="007E31CA"/>
    <w:rsid w:val="007E38FB"/>
    <w:rsid w:val="007E3B4B"/>
    <w:rsid w:val="007E3C62"/>
    <w:rsid w:val="007E3DD5"/>
    <w:rsid w:val="007E5574"/>
    <w:rsid w:val="007E73B2"/>
    <w:rsid w:val="007E7669"/>
    <w:rsid w:val="007E7704"/>
    <w:rsid w:val="007E7CE3"/>
    <w:rsid w:val="007F03AF"/>
    <w:rsid w:val="007F053E"/>
    <w:rsid w:val="007F07D9"/>
    <w:rsid w:val="007F08D0"/>
    <w:rsid w:val="007F0E41"/>
    <w:rsid w:val="007F1141"/>
    <w:rsid w:val="007F22BB"/>
    <w:rsid w:val="007F22FF"/>
    <w:rsid w:val="007F31A5"/>
    <w:rsid w:val="007F37A7"/>
    <w:rsid w:val="007F37FE"/>
    <w:rsid w:val="007F3948"/>
    <w:rsid w:val="007F3AC7"/>
    <w:rsid w:val="007F432F"/>
    <w:rsid w:val="007F4438"/>
    <w:rsid w:val="007F4606"/>
    <w:rsid w:val="007F4C3A"/>
    <w:rsid w:val="007F4D33"/>
    <w:rsid w:val="007F4E12"/>
    <w:rsid w:val="007F5D5E"/>
    <w:rsid w:val="007F5D95"/>
    <w:rsid w:val="007F6088"/>
    <w:rsid w:val="007F6AA9"/>
    <w:rsid w:val="007F736E"/>
    <w:rsid w:val="008001FD"/>
    <w:rsid w:val="00800EEE"/>
    <w:rsid w:val="00800FBA"/>
    <w:rsid w:val="008011E9"/>
    <w:rsid w:val="008016DC"/>
    <w:rsid w:val="008019E9"/>
    <w:rsid w:val="00801BB9"/>
    <w:rsid w:val="00801F31"/>
    <w:rsid w:val="00802171"/>
    <w:rsid w:val="008021DB"/>
    <w:rsid w:val="0080261E"/>
    <w:rsid w:val="00802827"/>
    <w:rsid w:val="008029DD"/>
    <w:rsid w:val="00803954"/>
    <w:rsid w:val="008039B1"/>
    <w:rsid w:val="008039FF"/>
    <w:rsid w:val="008045C6"/>
    <w:rsid w:val="00804D99"/>
    <w:rsid w:val="008051D9"/>
    <w:rsid w:val="00805631"/>
    <w:rsid w:val="00805981"/>
    <w:rsid w:val="00805B10"/>
    <w:rsid w:val="00805E95"/>
    <w:rsid w:val="008069F6"/>
    <w:rsid w:val="00806AD1"/>
    <w:rsid w:val="00806C13"/>
    <w:rsid w:val="00807006"/>
    <w:rsid w:val="00807B8B"/>
    <w:rsid w:val="008104C1"/>
    <w:rsid w:val="008105C5"/>
    <w:rsid w:val="0081078C"/>
    <w:rsid w:val="008107DB"/>
    <w:rsid w:val="00810D55"/>
    <w:rsid w:val="008115C9"/>
    <w:rsid w:val="0081216D"/>
    <w:rsid w:val="00812AD9"/>
    <w:rsid w:val="008132E6"/>
    <w:rsid w:val="00813842"/>
    <w:rsid w:val="00813B47"/>
    <w:rsid w:val="00813E51"/>
    <w:rsid w:val="00814094"/>
    <w:rsid w:val="0081439A"/>
    <w:rsid w:val="0081440C"/>
    <w:rsid w:val="00815F32"/>
    <w:rsid w:val="00816429"/>
    <w:rsid w:val="008168DE"/>
    <w:rsid w:val="00816E6A"/>
    <w:rsid w:val="008173F9"/>
    <w:rsid w:val="008179DB"/>
    <w:rsid w:val="00817A9F"/>
    <w:rsid w:val="008202D3"/>
    <w:rsid w:val="00820F15"/>
    <w:rsid w:val="00821783"/>
    <w:rsid w:val="008218BD"/>
    <w:rsid w:val="0082241A"/>
    <w:rsid w:val="008224EC"/>
    <w:rsid w:val="008228CA"/>
    <w:rsid w:val="00824D6B"/>
    <w:rsid w:val="00826458"/>
    <w:rsid w:val="00826A97"/>
    <w:rsid w:val="00826B21"/>
    <w:rsid w:val="00826B30"/>
    <w:rsid w:val="00826CF3"/>
    <w:rsid w:val="0082729E"/>
    <w:rsid w:val="00827C34"/>
    <w:rsid w:val="00827D00"/>
    <w:rsid w:val="00831480"/>
    <w:rsid w:val="0083185E"/>
    <w:rsid w:val="00831C03"/>
    <w:rsid w:val="008326E7"/>
    <w:rsid w:val="00832C52"/>
    <w:rsid w:val="00832EEB"/>
    <w:rsid w:val="00832FF4"/>
    <w:rsid w:val="008331FD"/>
    <w:rsid w:val="00833716"/>
    <w:rsid w:val="00834B09"/>
    <w:rsid w:val="00834DAF"/>
    <w:rsid w:val="00835558"/>
    <w:rsid w:val="00835693"/>
    <w:rsid w:val="00836858"/>
    <w:rsid w:val="00836DEA"/>
    <w:rsid w:val="00837435"/>
    <w:rsid w:val="0083762E"/>
    <w:rsid w:val="0084000B"/>
    <w:rsid w:val="00840030"/>
    <w:rsid w:val="0084011A"/>
    <w:rsid w:val="008401A2"/>
    <w:rsid w:val="008401B3"/>
    <w:rsid w:val="00840A4B"/>
    <w:rsid w:val="00840E09"/>
    <w:rsid w:val="00840E77"/>
    <w:rsid w:val="00841637"/>
    <w:rsid w:val="00841C78"/>
    <w:rsid w:val="00841E96"/>
    <w:rsid w:val="00842778"/>
    <w:rsid w:val="00843CF2"/>
    <w:rsid w:val="008444CA"/>
    <w:rsid w:val="0084469B"/>
    <w:rsid w:val="00844FDD"/>
    <w:rsid w:val="00845351"/>
    <w:rsid w:val="00845DB6"/>
    <w:rsid w:val="00845DBB"/>
    <w:rsid w:val="00846E54"/>
    <w:rsid w:val="0084732D"/>
    <w:rsid w:val="00847A7B"/>
    <w:rsid w:val="00847D91"/>
    <w:rsid w:val="00847E95"/>
    <w:rsid w:val="00847EDB"/>
    <w:rsid w:val="0085015F"/>
    <w:rsid w:val="00850162"/>
    <w:rsid w:val="00850269"/>
    <w:rsid w:val="008507EA"/>
    <w:rsid w:val="00850946"/>
    <w:rsid w:val="00850CB2"/>
    <w:rsid w:val="00850D1C"/>
    <w:rsid w:val="00851186"/>
    <w:rsid w:val="00851BB0"/>
    <w:rsid w:val="00852049"/>
    <w:rsid w:val="008521B9"/>
    <w:rsid w:val="0085244C"/>
    <w:rsid w:val="00852546"/>
    <w:rsid w:val="008525FE"/>
    <w:rsid w:val="00852B23"/>
    <w:rsid w:val="00852E6D"/>
    <w:rsid w:val="0085348E"/>
    <w:rsid w:val="008540D4"/>
    <w:rsid w:val="00854237"/>
    <w:rsid w:val="008543E9"/>
    <w:rsid w:val="00854E69"/>
    <w:rsid w:val="00855E32"/>
    <w:rsid w:val="00856E28"/>
    <w:rsid w:val="00857331"/>
    <w:rsid w:val="008603F1"/>
    <w:rsid w:val="00860A9C"/>
    <w:rsid w:val="00860B1F"/>
    <w:rsid w:val="008615BB"/>
    <w:rsid w:val="00861608"/>
    <w:rsid w:val="008617B0"/>
    <w:rsid w:val="00861DF5"/>
    <w:rsid w:val="00862070"/>
    <w:rsid w:val="00862101"/>
    <w:rsid w:val="00862A90"/>
    <w:rsid w:val="008632B0"/>
    <w:rsid w:val="00863507"/>
    <w:rsid w:val="00863C45"/>
    <w:rsid w:val="00863C7F"/>
    <w:rsid w:val="00864410"/>
    <w:rsid w:val="008645C8"/>
    <w:rsid w:val="0086464E"/>
    <w:rsid w:val="008648A5"/>
    <w:rsid w:val="00864BA7"/>
    <w:rsid w:val="00865104"/>
    <w:rsid w:val="008651FC"/>
    <w:rsid w:val="00865337"/>
    <w:rsid w:val="0086546C"/>
    <w:rsid w:val="0086639B"/>
    <w:rsid w:val="008707EA"/>
    <w:rsid w:val="008709EB"/>
    <w:rsid w:val="00870A93"/>
    <w:rsid w:val="00870BD0"/>
    <w:rsid w:val="00871215"/>
    <w:rsid w:val="0087150D"/>
    <w:rsid w:val="00871824"/>
    <w:rsid w:val="0087195A"/>
    <w:rsid w:val="00871B2F"/>
    <w:rsid w:val="008725E4"/>
    <w:rsid w:val="00872BFE"/>
    <w:rsid w:val="00872CA6"/>
    <w:rsid w:val="00873331"/>
    <w:rsid w:val="00873CE0"/>
    <w:rsid w:val="00874404"/>
    <w:rsid w:val="00874B0A"/>
    <w:rsid w:val="00875354"/>
    <w:rsid w:val="00875975"/>
    <w:rsid w:val="00875B0E"/>
    <w:rsid w:val="00876E20"/>
    <w:rsid w:val="00877A32"/>
    <w:rsid w:val="00877CEC"/>
    <w:rsid w:val="008805C6"/>
    <w:rsid w:val="00880CED"/>
    <w:rsid w:val="008816A7"/>
    <w:rsid w:val="00881F0A"/>
    <w:rsid w:val="00882938"/>
    <w:rsid w:val="00882AE9"/>
    <w:rsid w:val="00882E29"/>
    <w:rsid w:val="0088305A"/>
    <w:rsid w:val="0088313B"/>
    <w:rsid w:val="00883FCE"/>
    <w:rsid w:val="00883FEF"/>
    <w:rsid w:val="00884EB8"/>
    <w:rsid w:val="00885147"/>
    <w:rsid w:val="008853E1"/>
    <w:rsid w:val="00885E75"/>
    <w:rsid w:val="008863E9"/>
    <w:rsid w:val="00886507"/>
    <w:rsid w:val="008867B8"/>
    <w:rsid w:val="00887C3C"/>
    <w:rsid w:val="00887F71"/>
    <w:rsid w:val="008908CC"/>
    <w:rsid w:val="008911E2"/>
    <w:rsid w:val="00891C90"/>
    <w:rsid w:val="008923E1"/>
    <w:rsid w:val="00892912"/>
    <w:rsid w:val="00892CDC"/>
    <w:rsid w:val="00892D7D"/>
    <w:rsid w:val="008937BB"/>
    <w:rsid w:val="008948FA"/>
    <w:rsid w:val="008949A6"/>
    <w:rsid w:val="00894A3C"/>
    <w:rsid w:val="00894AA5"/>
    <w:rsid w:val="00894AF0"/>
    <w:rsid w:val="0089565D"/>
    <w:rsid w:val="008956F5"/>
    <w:rsid w:val="00895A8A"/>
    <w:rsid w:val="00895D22"/>
    <w:rsid w:val="00895E13"/>
    <w:rsid w:val="0089603C"/>
    <w:rsid w:val="00896218"/>
    <w:rsid w:val="008963F2"/>
    <w:rsid w:val="008965A4"/>
    <w:rsid w:val="00896B8F"/>
    <w:rsid w:val="00896EB5"/>
    <w:rsid w:val="008972B2"/>
    <w:rsid w:val="00897657"/>
    <w:rsid w:val="00897FC1"/>
    <w:rsid w:val="008A0267"/>
    <w:rsid w:val="008A05B2"/>
    <w:rsid w:val="008A09F4"/>
    <w:rsid w:val="008A0AF4"/>
    <w:rsid w:val="008A0C04"/>
    <w:rsid w:val="008A1307"/>
    <w:rsid w:val="008A2851"/>
    <w:rsid w:val="008A2C30"/>
    <w:rsid w:val="008A2C61"/>
    <w:rsid w:val="008A2D0F"/>
    <w:rsid w:val="008A300A"/>
    <w:rsid w:val="008A3462"/>
    <w:rsid w:val="008A3473"/>
    <w:rsid w:val="008A3708"/>
    <w:rsid w:val="008A389A"/>
    <w:rsid w:val="008A3A82"/>
    <w:rsid w:val="008A3C61"/>
    <w:rsid w:val="008A3C80"/>
    <w:rsid w:val="008A40C2"/>
    <w:rsid w:val="008A40EB"/>
    <w:rsid w:val="008A4E42"/>
    <w:rsid w:val="008A4FAB"/>
    <w:rsid w:val="008A5147"/>
    <w:rsid w:val="008A6640"/>
    <w:rsid w:val="008A7764"/>
    <w:rsid w:val="008A7A93"/>
    <w:rsid w:val="008A7EEB"/>
    <w:rsid w:val="008A7F9A"/>
    <w:rsid w:val="008B0C33"/>
    <w:rsid w:val="008B0D62"/>
    <w:rsid w:val="008B1392"/>
    <w:rsid w:val="008B1EA0"/>
    <w:rsid w:val="008B1F10"/>
    <w:rsid w:val="008B2359"/>
    <w:rsid w:val="008B2510"/>
    <w:rsid w:val="008B2878"/>
    <w:rsid w:val="008B2971"/>
    <w:rsid w:val="008B2E14"/>
    <w:rsid w:val="008B3176"/>
    <w:rsid w:val="008B38FF"/>
    <w:rsid w:val="008B3E33"/>
    <w:rsid w:val="008B3EF2"/>
    <w:rsid w:val="008B4236"/>
    <w:rsid w:val="008B492D"/>
    <w:rsid w:val="008B62BC"/>
    <w:rsid w:val="008B69A8"/>
    <w:rsid w:val="008B7167"/>
    <w:rsid w:val="008B74BC"/>
    <w:rsid w:val="008B7CB3"/>
    <w:rsid w:val="008C0AE9"/>
    <w:rsid w:val="008C0D1E"/>
    <w:rsid w:val="008C1540"/>
    <w:rsid w:val="008C15D3"/>
    <w:rsid w:val="008C1AF6"/>
    <w:rsid w:val="008C1FA9"/>
    <w:rsid w:val="008C2043"/>
    <w:rsid w:val="008C24AC"/>
    <w:rsid w:val="008C2A43"/>
    <w:rsid w:val="008C3296"/>
    <w:rsid w:val="008C3A19"/>
    <w:rsid w:val="008C3A3F"/>
    <w:rsid w:val="008C3BC3"/>
    <w:rsid w:val="008C555A"/>
    <w:rsid w:val="008C68FE"/>
    <w:rsid w:val="008C6D84"/>
    <w:rsid w:val="008C70D5"/>
    <w:rsid w:val="008D0A9A"/>
    <w:rsid w:val="008D104A"/>
    <w:rsid w:val="008D1249"/>
    <w:rsid w:val="008D1421"/>
    <w:rsid w:val="008D15C3"/>
    <w:rsid w:val="008D1DDA"/>
    <w:rsid w:val="008D1F0C"/>
    <w:rsid w:val="008D21FE"/>
    <w:rsid w:val="008D2405"/>
    <w:rsid w:val="008D240E"/>
    <w:rsid w:val="008D29EC"/>
    <w:rsid w:val="008D2AC7"/>
    <w:rsid w:val="008D38A3"/>
    <w:rsid w:val="008D564C"/>
    <w:rsid w:val="008D5711"/>
    <w:rsid w:val="008D57DC"/>
    <w:rsid w:val="008D63F8"/>
    <w:rsid w:val="008D6F05"/>
    <w:rsid w:val="008D6FB0"/>
    <w:rsid w:val="008D74BF"/>
    <w:rsid w:val="008D7A72"/>
    <w:rsid w:val="008E01A3"/>
    <w:rsid w:val="008E0402"/>
    <w:rsid w:val="008E10A0"/>
    <w:rsid w:val="008E14D1"/>
    <w:rsid w:val="008E14D7"/>
    <w:rsid w:val="008E1F10"/>
    <w:rsid w:val="008E2085"/>
    <w:rsid w:val="008E230F"/>
    <w:rsid w:val="008E2C5A"/>
    <w:rsid w:val="008E4121"/>
    <w:rsid w:val="008E4BC3"/>
    <w:rsid w:val="008E571D"/>
    <w:rsid w:val="008E5F63"/>
    <w:rsid w:val="008E5F65"/>
    <w:rsid w:val="008E6997"/>
    <w:rsid w:val="008E6BA9"/>
    <w:rsid w:val="008E6EAA"/>
    <w:rsid w:val="008E7FF3"/>
    <w:rsid w:val="008F03D7"/>
    <w:rsid w:val="008F0FD0"/>
    <w:rsid w:val="008F2390"/>
    <w:rsid w:val="008F2520"/>
    <w:rsid w:val="008F2584"/>
    <w:rsid w:val="008F31BE"/>
    <w:rsid w:val="008F33A3"/>
    <w:rsid w:val="008F36D6"/>
    <w:rsid w:val="008F3AC0"/>
    <w:rsid w:val="008F3CF8"/>
    <w:rsid w:val="008F4091"/>
    <w:rsid w:val="008F411A"/>
    <w:rsid w:val="008F41C9"/>
    <w:rsid w:val="008F44A6"/>
    <w:rsid w:val="008F4517"/>
    <w:rsid w:val="008F507D"/>
    <w:rsid w:val="008F5C82"/>
    <w:rsid w:val="008F6064"/>
    <w:rsid w:val="008F6C9E"/>
    <w:rsid w:val="008F7826"/>
    <w:rsid w:val="008F79F9"/>
    <w:rsid w:val="008F7E91"/>
    <w:rsid w:val="00900289"/>
    <w:rsid w:val="0090097F"/>
    <w:rsid w:val="009013ED"/>
    <w:rsid w:val="00901A27"/>
    <w:rsid w:val="009020BF"/>
    <w:rsid w:val="00902C22"/>
    <w:rsid w:val="00903468"/>
    <w:rsid w:val="009037F1"/>
    <w:rsid w:val="00904118"/>
    <w:rsid w:val="00904383"/>
    <w:rsid w:val="00904869"/>
    <w:rsid w:val="009048D5"/>
    <w:rsid w:val="00906240"/>
    <w:rsid w:val="0090649E"/>
    <w:rsid w:val="0090658A"/>
    <w:rsid w:val="00906A1D"/>
    <w:rsid w:val="0090791C"/>
    <w:rsid w:val="00907A36"/>
    <w:rsid w:val="00910073"/>
    <w:rsid w:val="00910F8F"/>
    <w:rsid w:val="00911889"/>
    <w:rsid w:val="00911B0F"/>
    <w:rsid w:val="00911C8F"/>
    <w:rsid w:val="00911E60"/>
    <w:rsid w:val="00911F01"/>
    <w:rsid w:val="009122ED"/>
    <w:rsid w:val="00912694"/>
    <w:rsid w:val="00912899"/>
    <w:rsid w:val="00913318"/>
    <w:rsid w:val="0091442E"/>
    <w:rsid w:val="00914672"/>
    <w:rsid w:val="009147CC"/>
    <w:rsid w:val="009148B0"/>
    <w:rsid w:val="009158E6"/>
    <w:rsid w:val="0091622C"/>
    <w:rsid w:val="00916A12"/>
    <w:rsid w:val="00916A56"/>
    <w:rsid w:val="00916E5A"/>
    <w:rsid w:val="0091761B"/>
    <w:rsid w:val="00917E9A"/>
    <w:rsid w:val="00917EA8"/>
    <w:rsid w:val="009207F7"/>
    <w:rsid w:val="0092097B"/>
    <w:rsid w:val="00920BB5"/>
    <w:rsid w:val="0092198D"/>
    <w:rsid w:val="009219CB"/>
    <w:rsid w:val="00922175"/>
    <w:rsid w:val="00922E8A"/>
    <w:rsid w:val="00922FAE"/>
    <w:rsid w:val="009233A8"/>
    <w:rsid w:val="0092365F"/>
    <w:rsid w:val="0092368E"/>
    <w:rsid w:val="009237DF"/>
    <w:rsid w:val="00924D7D"/>
    <w:rsid w:val="00924DE1"/>
    <w:rsid w:val="009257A9"/>
    <w:rsid w:val="00925B88"/>
    <w:rsid w:val="00926377"/>
    <w:rsid w:val="0092641F"/>
    <w:rsid w:val="00926440"/>
    <w:rsid w:val="009270C7"/>
    <w:rsid w:val="0092726E"/>
    <w:rsid w:val="00927C6B"/>
    <w:rsid w:val="009302D4"/>
    <w:rsid w:val="0093074D"/>
    <w:rsid w:val="009311B7"/>
    <w:rsid w:val="0093125A"/>
    <w:rsid w:val="00931388"/>
    <w:rsid w:val="00931648"/>
    <w:rsid w:val="00931C41"/>
    <w:rsid w:val="00931D78"/>
    <w:rsid w:val="00931E03"/>
    <w:rsid w:val="00932083"/>
    <w:rsid w:val="009321FA"/>
    <w:rsid w:val="0093256A"/>
    <w:rsid w:val="009326C3"/>
    <w:rsid w:val="00932AEF"/>
    <w:rsid w:val="00932BAA"/>
    <w:rsid w:val="00932DA5"/>
    <w:rsid w:val="009330A3"/>
    <w:rsid w:val="00933275"/>
    <w:rsid w:val="009335F1"/>
    <w:rsid w:val="009338AA"/>
    <w:rsid w:val="00933C8F"/>
    <w:rsid w:val="00933E26"/>
    <w:rsid w:val="00934665"/>
    <w:rsid w:val="00934B59"/>
    <w:rsid w:val="009356C2"/>
    <w:rsid w:val="00935B08"/>
    <w:rsid w:val="00936234"/>
    <w:rsid w:val="00936586"/>
    <w:rsid w:val="00936684"/>
    <w:rsid w:val="00936818"/>
    <w:rsid w:val="0093711F"/>
    <w:rsid w:val="00937DE9"/>
    <w:rsid w:val="00937E95"/>
    <w:rsid w:val="00937F75"/>
    <w:rsid w:val="00940754"/>
    <w:rsid w:val="00940B1A"/>
    <w:rsid w:val="00940E15"/>
    <w:rsid w:val="00941800"/>
    <w:rsid w:val="00941A79"/>
    <w:rsid w:val="0094218B"/>
    <w:rsid w:val="00942197"/>
    <w:rsid w:val="009425FA"/>
    <w:rsid w:val="0094270C"/>
    <w:rsid w:val="00943431"/>
    <w:rsid w:val="009437CE"/>
    <w:rsid w:val="00943A4F"/>
    <w:rsid w:val="0094455D"/>
    <w:rsid w:val="0094499E"/>
    <w:rsid w:val="00944FAC"/>
    <w:rsid w:val="00945433"/>
    <w:rsid w:val="009458AE"/>
    <w:rsid w:val="00945DF1"/>
    <w:rsid w:val="00946389"/>
    <w:rsid w:val="009463A1"/>
    <w:rsid w:val="00946851"/>
    <w:rsid w:val="00946C97"/>
    <w:rsid w:val="00946FD6"/>
    <w:rsid w:val="009477DF"/>
    <w:rsid w:val="00947896"/>
    <w:rsid w:val="00950215"/>
    <w:rsid w:val="0095029E"/>
    <w:rsid w:val="00950721"/>
    <w:rsid w:val="009509DC"/>
    <w:rsid w:val="00950F2C"/>
    <w:rsid w:val="009510F6"/>
    <w:rsid w:val="00951813"/>
    <w:rsid w:val="00951F30"/>
    <w:rsid w:val="00952A30"/>
    <w:rsid w:val="00952C19"/>
    <w:rsid w:val="0095450B"/>
    <w:rsid w:val="00954AD9"/>
    <w:rsid w:val="00955819"/>
    <w:rsid w:val="00955B8D"/>
    <w:rsid w:val="00956502"/>
    <w:rsid w:val="0095696B"/>
    <w:rsid w:val="00956DC6"/>
    <w:rsid w:val="00956F89"/>
    <w:rsid w:val="00957154"/>
    <w:rsid w:val="009574C7"/>
    <w:rsid w:val="00957AB5"/>
    <w:rsid w:val="0096009C"/>
    <w:rsid w:val="009605C0"/>
    <w:rsid w:val="00961644"/>
    <w:rsid w:val="00961987"/>
    <w:rsid w:val="00961E6D"/>
    <w:rsid w:val="00962144"/>
    <w:rsid w:val="00962955"/>
    <w:rsid w:val="00963636"/>
    <w:rsid w:val="009636A4"/>
    <w:rsid w:val="00963D53"/>
    <w:rsid w:val="00963FB4"/>
    <w:rsid w:val="00964384"/>
    <w:rsid w:val="009648F4"/>
    <w:rsid w:val="00964C9D"/>
    <w:rsid w:val="00965F1D"/>
    <w:rsid w:val="00966295"/>
    <w:rsid w:val="009664BC"/>
    <w:rsid w:val="00967105"/>
    <w:rsid w:val="00967253"/>
    <w:rsid w:val="00967576"/>
    <w:rsid w:val="00967B97"/>
    <w:rsid w:val="0097007D"/>
    <w:rsid w:val="0097039D"/>
    <w:rsid w:val="009707C5"/>
    <w:rsid w:val="009707F0"/>
    <w:rsid w:val="0097119F"/>
    <w:rsid w:val="00971897"/>
    <w:rsid w:val="00971FE1"/>
    <w:rsid w:val="009725FA"/>
    <w:rsid w:val="0097321D"/>
    <w:rsid w:val="00973309"/>
    <w:rsid w:val="0097403E"/>
    <w:rsid w:val="00974168"/>
    <w:rsid w:val="00974F94"/>
    <w:rsid w:val="00975231"/>
    <w:rsid w:val="0097589B"/>
    <w:rsid w:val="00976035"/>
    <w:rsid w:val="0097646B"/>
    <w:rsid w:val="00976A2F"/>
    <w:rsid w:val="00976D90"/>
    <w:rsid w:val="0097707B"/>
    <w:rsid w:val="009776D3"/>
    <w:rsid w:val="009804D8"/>
    <w:rsid w:val="0098052A"/>
    <w:rsid w:val="00981F4F"/>
    <w:rsid w:val="00982501"/>
    <w:rsid w:val="009829C6"/>
    <w:rsid w:val="009829C8"/>
    <w:rsid w:val="00982F62"/>
    <w:rsid w:val="009832D1"/>
    <w:rsid w:val="00984662"/>
    <w:rsid w:val="00984B2B"/>
    <w:rsid w:val="00985C85"/>
    <w:rsid w:val="0098614C"/>
    <w:rsid w:val="009861D1"/>
    <w:rsid w:val="00986266"/>
    <w:rsid w:val="0098659A"/>
    <w:rsid w:val="00987989"/>
    <w:rsid w:val="009879B3"/>
    <w:rsid w:val="009879C3"/>
    <w:rsid w:val="00987BCB"/>
    <w:rsid w:val="00990D99"/>
    <w:rsid w:val="009914A2"/>
    <w:rsid w:val="00991563"/>
    <w:rsid w:val="00992701"/>
    <w:rsid w:val="00992F5E"/>
    <w:rsid w:val="009943DD"/>
    <w:rsid w:val="00994A6E"/>
    <w:rsid w:val="009956A5"/>
    <w:rsid w:val="00995B90"/>
    <w:rsid w:val="009962ED"/>
    <w:rsid w:val="009968B9"/>
    <w:rsid w:val="00996D8D"/>
    <w:rsid w:val="00997573"/>
    <w:rsid w:val="009979DE"/>
    <w:rsid w:val="00997B6D"/>
    <w:rsid w:val="00997B94"/>
    <w:rsid w:val="00997B98"/>
    <w:rsid w:val="00997BF1"/>
    <w:rsid w:val="00997D31"/>
    <w:rsid w:val="00997EE8"/>
    <w:rsid w:val="009A0D88"/>
    <w:rsid w:val="009A2103"/>
    <w:rsid w:val="009A243C"/>
    <w:rsid w:val="009A2486"/>
    <w:rsid w:val="009A2836"/>
    <w:rsid w:val="009A334B"/>
    <w:rsid w:val="009A3392"/>
    <w:rsid w:val="009A34B3"/>
    <w:rsid w:val="009A3548"/>
    <w:rsid w:val="009A40FE"/>
    <w:rsid w:val="009A4114"/>
    <w:rsid w:val="009A486F"/>
    <w:rsid w:val="009A4E20"/>
    <w:rsid w:val="009A59BA"/>
    <w:rsid w:val="009A5C72"/>
    <w:rsid w:val="009A6192"/>
    <w:rsid w:val="009A6379"/>
    <w:rsid w:val="009A6C29"/>
    <w:rsid w:val="009A6C9D"/>
    <w:rsid w:val="009A70F1"/>
    <w:rsid w:val="009A712E"/>
    <w:rsid w:val="009A7132"/>
    <w:rsid w:val="009A7A71"/>
    <w:rsid w:val="009B00BB"/>
    <w:rsid w:val="009B09C2"/>
    <w:rsid w:val="009B0F41"/>
    <w:rsid w:val="009B1549"/>
    <w:rsid w:val="009B1D79"/>
    <w:rsid w:val="009B257A"/>
    <w:rsid w:val="009B289C"/>
    <w:rsid w:val="009B29CC"/>
    <w:rsid w:val="009B30E5"/>
    <w:rsid w:val="009B30FF"/>
    <w:rsid w:val="009B375B"/>
    <w:rsid w:val="009B41C6"/>
    <w:rsid w:val="009B42E2"/>
    <w:rsid w:val="009B4326"/>
    <w:rsid w:val="009B4758"/>
    <w:rsid w:val="009B4AA8"/>
    <w:rsid w:val="009B4FF8"/>
    <w:rsid w:val="009B5A07"/>
    <w:rsid w:val="009B5D2C"/>
    <w:rsid w:val="009B5E19"/>
    <w:rsid w:val="009B63F7"/>
    <w:rsid w:val="009B69DD"/>
    <w:rsid w:val="009B70B4"/>
    <w:rsid w:val="009B70EE"/>
    <w:rsid w:val="009B7377"/>
    <w:rsid w:val="009B76D6"/>
    <w:rsid w:val="009B7EB9"/>
    <w:rsid w:val="009C066E"/>
    <w:rsid w:val="009C089F"/>
    <w:rsid w:val="009C0A8E"/>
    <w:rsid w:val="009C17ED"/>
    <w:rsid w:val="009C1A5E"/>
    <w:rsid w:val="009C2131"/>
    <w:rsid w:val="009C316A"/>
    <w:rsid w:val="009C32A7"/>
    <w:rsid w:val="009C3AB8"/>
    <w:rsid w:val="009C41A3"/>
    <w:rsid w:val="009C479E"/>
    <w:rsid w:val="009C5C81"/>
    <w:rsid w:val="009C5CC7"/>
    <w:rsid w:val="009C5D9F"/>
    <w:rsid w:val="009C6152"/>
    <w:rsid w:val="009C6351"/>
    <w:rsid w:val="009C73A5"/>
    <w:rsid w:val="009C7899"/>
    <w:rsid w:val="009D017F"/>
    <w:rsid w:val="009D0C9D"/>
    <w:rsid w:val="009D0D83"/>
    <w:rsid w:val="009D0E3C"/>
    <w:rsid w:val="009D0F40"/>
    <w:rsid w:val="009D176D"/>
    <w:rsid w:val="009D18D0"/>
    <w:rsid w:val="009D229E"/>
    <w:rsid w:val="009D22CE"/>
    <w:rsid w:val="009D2A34"/>
    <w:rsid w:val="009D2AEA"/>
    <w:rsid w:val="009D2E10"/>
    <w:rsid w:val="009D3330"/>
    <w:rsid w:val="009D3E34"/>
    <w:rsid w:val="009D4790"/>
    <w:rsid w:val="009D5263"/>
    <w:rsid w:val="009D5BAC"/>
    <w:rsid w:val="009D693D"/>
    <w:rsid w:val="009D6B65"/>
    <w:rsid w:val="009D6BAC"/>
    <w:rsid w:val="009D6D1B"/>
    <w:rsid w:val="009D71A1"/>
    <w:rsid w:val="009D7227"/>
    <w:rsid w:val="009D7884"/>
    <w:rsid w:val="009E0B19"/>
    <w:rsid w:val="009E0B2C"/>
    <w:rsid w:val="009E0DBD"/>
    <w:rsid w:val="009E1AF1"/>
    <w:rsid w:val="009E1D65"/>
    <w:rsid w:val="009E2F75"/>
    <w:rsid w:val="009E3108"/>
    <w:rsid w:val="009E32A4"/>
    <w:rsid w:val="009E3C86"/>
    <w:rsid w:val="009E3D0C"/>
    <w:rsid w:val="009E4709"/>
    <w:rsid w:val="009E49C1"/>
    <w:rsid w:val="009E4C18"/>
    <w:rsid w:val="009E4D00"/>
    <w:rsid w:val="009E5348"/>
    <w:rsid w:val="009E5918"/>
    <w:rsid w:val="009E59FA"/>
    <w:rsid w:val="009E5A50"/>
    <w:rsid w:val="009E5E8B"/>
    <w:rsid w:val="009E5F1A"/>
    <w:rsid w:val="009E6019"/>
    <w:rsid w:val="009E6346"/>
    <w:rsid w:val="009E6D80"/>
    <w:rsid w:val="009E7641"/>
    <w:rsid w:val="009E76A5"/>
    <w:rsid w:val="009E7AA3"/>
    <w:rsid w:val="009E7B2F"/>
    <w:rsid w:val="009E7D2A"/>
    <w:rsid w:val="009F0358"/>
    <w:rsid w:val="009F06AD"/>
    <w:rsid w:val="009F08EF"/>
    <w:rsid w:val="009F0CFE"/>
    <w:rsid w:val="009F14D2"/>
    <w:rsid w:val="009F15ED"/>
    <w:rsid w:val="009F195E"/>
    <w:rsid w:val="009F1F44"/>
    <w:rsid w:val="009F1FA7"/>
    <w:rsid w:val="009F283E"/>
    <w:rsid w:val="009F2BD2"/>
    <w:rsid w:val="009F2D4D"/>
    <w:rsid w:val="009F2EA7"/>
    <w:rsid w:val="009F2F5D"/>
    <w:rsid w:val="009F480D"/>
    <w:rsid w:val="009F4C4A"/>
    <w:rsid w:val="009F50CF"/>
    <w:rsid w:val="009F541B"/>
    <w:rsid w:val="009F5A55"/>
    <w:rsid w:val="009F62FE"/>
    <w:rsid w:val="009F6A53"/>
    <w:rsid w:val="009F6A68"/>
    <w:rsid w:val="009F6A7C"/>
    <w:rsid w:val="009F766B"/>
    <w:rsid w:val="009F7902"/>
    <w:rsid w:val="009F7D18"/>
    <w:rsid w:val="00A00394"/>
    <w:rsid w:val="00A005A4"/>
    <w:rsid w:val="00A00658"/>
    <w:rsid w:val="00A009D2"/>
    <w:rsid w:val="00A014C7"/>
    <w:rsid w:val="00A01696"/>
    <w:rsid w:val="00A01AE5"/>
    <w:rsid w:val="00A01CB4"/>
    <w:rsid w:val="00A020D1"/>
    <w:rsid w:val="00A02512"/>
    <w:rsid w:val="00A026FB"/>
    <w:rsid w:val="00A02EBA"/>
    <w:rsid w:val="00A031D1"/>
    <w:rsid w:val="00A03499"/>
    <w:rsid w:val="00A03551"/>
    <w:rsid w:val="00A0358B"/>
    <w:rsid w:val="00A036C3"/>
    <w:rsid w:val="00A036F9"/>
    <w:rsid w:val="00A03B08"/>
    <w:rsid w:val="00A04C8F"/>
    <w:rsid w:val="00A04D15"/>
    <w:rsid w:val="00A04F45"/>
    <w:rsid w:val="00A055E2"/>
    <w:rsid w:val="00A057A4"/>
    <w:rsid w:val="00A0645E"/>
    <w:rsid w:val="00A066A6"/>
    <w:rsid w:val="00A06905"/>
    <w:rsid w:val="00A06EC1"/>
    <w:rsid w:val="00A07D4A"/>
    <w:rsid w:val="00A10405"/>
    <w:rsid w:val="00A1077A"/>
    <w:rsid w:val="00A10A54"/>
    <w:rsid w:val="00A10E97"/>
    <w:rsid w:val="00A1134A"/>
    <w:rsid w:val="00A1136C"/>
    <w:rsid w:val="00A116BD"/>
    <w:rsid w:val="00A116F5"/>
    <w:rsid w:val="00A122B6"/>
    <w:rsid w:val="00A12BCF"/>
    <w:rsid w:val="00A12C6A"/>
    <w:rsid w:val="00A1312D"/>
    <w:rsid w:val="00A13395"/>
    <w:rsid w:val="00A13E3E"/>
    <w:rsid w:val="00A14D81"/>
    <w:rsid w:val="00A15851"/>
    <w:rsid w:val="00A158A7"/>
    <w:rsid w:val="00A16791"/>
    <w:rsid w:val="00A16BD1"/>
    <w:rsid w:val="00A16D85"/>
    <w:rsid w:val="00A16DC8"/>
    <w:rsid w:val="00A16FB1"/>
    <w:rsid w:val="00A17693"/>
    <w:rsid w:val="00A17C25"/>
    <w:rsid w:val="00A17C81"/>
    <w:rsid w:val="00A20200"/>
    <w:rsid w:val="00A202B7"/>
    <w:rsid w:val="00A20397"/>
    <w:rsid w:val="00A20FCE"/>
    <w:rsid w:val="00A21467"/>
    <w:rsid w:val="00A21813"/>
    <w:rsid w:val="00A222E2"/>
    <w:rsid w:val="00A22417"/>
    <w:rsid w:val="00A22452"/>
    <w:rsid w:val="00A232E7"/>
    <w:rsid w:val="00A2444F"/>
    <w:rsid w:val="00A24D7F"/>
    <w:rsid w:val="00A259AC"/>
    <w:rsid w:val="00A25FDE"/>
    <w:rsid w:val="00A25FFF"/>
    <w:rsid w:val="00A260EE"/>
    <w:rsid w:val="00A27171"/>
    <w:rsid w:val="00A279C6"/>
    <w:rsid w:val="00A27BCA"/>
    <w:rsid w:val="00A317C3"/>
    <w:rsid w:val="00A31BCA"/>
    <w:rsid w:val="00A31C0C"/>
    <w:rsid w:val="00A32026"/>
    <w:rsid w:val="00A320F1"/>
    <w:rsid w:val="00A32CE0"/>
    <w:rsid w:val="00A32D96"/>
    <w:rsid w:val="00A33353"/>
    <w:rsid w:val="00A33995"/>
    <w:rsid w:val="00A343A1"/>
    <w:rsid w:val="00A3503C"/>
    <w:rsid w:val="00A357B8"/>
    <w:rsid w:val="00A35D93"/>
    <w:rsid w:val="00A36CCA"/>
    <w:rsid w:val="00A36F0C"/>
    <w:rsid w:val="00A36FAF"/>
    <w:rsid w:val="00A37020"/>
    <w:rsid w:val="00A371A8"/>
    <w:rsid w:val="00A37C37"/>
    <w:rsid w:val="00A4003F"/>
    <w:rsid w:val="00A40174"/>
    <w:rsid w:val="00A41120"/>
    <w:rsid w:val="00A413AC"/>
    <w:rsid w:val="00A41472"/>
    <w:rsid w:val="00A42049"/>
    <w:rsid w:val="00A42368"/>
    <w:rsid w:val="00A42C4E"/>
    <w:rsid w:val="00A431F3"/>
    <w:rsid w:val="00A43BBA"/>
    <w:rsid w:val="00A43D83"/>
    <w:rsid w:val="00A440EC"/>
    <w:rsid w:val="00A44144"/>
    <w:rsid w:val="00A45D45"/>
    <w:rsid w:val="00A45E21"/>
    <w:rsid w:val="00A45FA9"/>
    <w:rsid w:val="00A463FB"/>
    <w:rsid w:val="00A46B2A"/>
    <w:rsid w:val="00A46CF7"/>
    <w:rsid w:val="00A46D31"/>
    <w:rsid w:val="00A46DD5"/>
    <w:rsid w:val="00A470E6"/>
    <w:rsid w:val="00A47182"/>
    <w:rsid w:val="00A4784A"/>
    <w:rsid w:val="00A50AF1"/>
    <w:rsid w:val="00A50B81"/>
    <w:rsid w:val="00A50FC5"/>
    <w:rsid w:val="00A50FCB"/>
    <w:rsid w:val="00A5140C"/>
    <w:rsid w:val="00A518C0"/>
    <w:rsid w:val="00A518ED"/>
    <w:rsid w:val="00A521F3"/>
    <w:rsid w:val="00A526C3"/>
    <w:rsid w:val="00A535B0"/>
    <w:rsid w:val="00A536AB"/>
    <w:rsid w:val="00A53CB5"/>
    <w:rsid w:val="00A53E89"/>
    <w:rsid w:val="00A53EC7"/>
    <w:rsid w:val="00A54AB3"/>
    <w:rsid w:val="00A57080"/>
    <w:rsid w:val="00A5741C"/>
    <w:rsid w:val="00A578F4"/>
    <w:rsid w:val="00A57E12"/>
    <w:rsid w:val="00A57EAE"/>
    <w:rsid w:val="00A57FA9"/>
    <w:rsid w:val="00A6040D"/>
    <w:rsid w:val="00A60A9A"/>
    <w:rsid w:val="00A60D76"/>
    <w:rsid w:val="00A6108C"/>
    <w:rsid w:val="00A6114D"/>
    <w:rsid w:val="00A613D0"/>
    <w:rsid w:val="00A619DA"/>
    <w:rsid w:val="00A61F86"/>
    <w:rsid w:val="00A624A4"/>
    <w:rsid w:val="00A62914"/>
    <w:rsid w:val="00A62A67"/>
    <w:rsid w:val="00A62C05"/>
    <w:rsid w:val="00A62CEE"/>
    <w:rsid w:val="00A631B7"/>
    <w:rsid w:val="00A63250"/>
    <w:rsid w:val="00A6331E"/>
    <w:rsid w:val="00A638D2"/>
    <w:rsid w:val="00A63931"/>
    <w:rsid w:val="00A63C82"/>
    <w:rsid w:val="00A63F61"/>
    <w:rsid w:val="00A6555F"/>
    <w:rsid w:val="00A6557F"/>
    <w:rsid w:val="00A657A6"/>
    <w:rsid w:val="00A658EC"/>
    <w:rsid w:val="00A65C5E"/>
    <w:rsid w:val="00A65F69"/>
    <w:rsid w:val="00A66595"/>
    <w:rsid w:val="00A66D00"/>
    <w:rsid w:val="00A67495"/>
    <w:rsid w:val="00A67557"/>
    <w:rsid w:val="00A67793"/>
    <w:rsid w:val="00A6781A"/>
    <w:rsid w:val="00A7003E"/>
    <w:rsid w:val="00A70074"/>
    <w:rsid w:val="00A70ED5"/>
    <w:rsid w:val="00A70F29"/>
    <w:rsid w:val="00A711C1"/>
    <w:rsid w:val="00A71A54"/>
    <w:rsid w:val="00A71A72"/>
    <w:rsid w:val="00A71E2A"/>
    <w:rsid w:val="00A71FC3"/>
    <w:rsid w:val="00A721C9"/>
    <w:rsid w:val="00A72605"/>
    <w:rsid w:val="00A72B89"/>
    <w:rsid w:val="00A72F1B"/>
    <w:rsid w:val="00A73DD0"/>
    <w:rsid w:val="00A73E7D"/>
    <w:rsid w:val="00A743F2"/>
    <w:rsid w:val="00A74D40"/>
    <w:rsid w:val="00A75185"/>
    <w:rsid w:val="00A752CA"/>
    <w:rsid w:val="00A756D7"/>
    <w:rsid w:val="00A75AAF"/>
    <w:rsid w:val="00A75BA2"/>
    <w:rsid w:val="00A76017"/>
    <w:rsid w:val="00A76670"/>
    <w:rsid w:val="00A76B49"/>
    <w:rsid w:val="00A76C6C"/>
    <w:rsid w:val="00A76CAA"/>
    <w:rsid w:val="00A77284"/>
    <w:rsid w:val="00A773CA"/>
    <w:rsid w:val="00A775FD"/>
    <w:rsid w:val="00A77685"/>
    <w:rsid w:val="00A77881"/>
    <w:rsid w:val="00A77EF7"/>
    <w:rsid w:val="00A77F02"/>
    <w:rsid w:val="00A8039B"/>
    <w:rsid w:val="00A80D82"/>
    <w:rsid w:val="00A815B9"/>
    <w:rsid w:val="00A81C08"/>
    <w:rsid w:val="00A81F9A"/>
    <w:rsid w:val="00A82524"/>
    <w:rsid w:val="00A82539"/>
    <w:rsid w:val="00A82611"/>
    <w:rsid w:val="00A82C88"/>
    <w:rsid w:val="00A8338A"/>
    <w:rsid w:val="00A83793"/>
    <w:rsid w:val="00A83AAC"/>
    <w:rsid w:val="00A83B26"/>
    <w:rsid w:val="00A83D02"/>
    <w:rsid w:val="00A844BA"/>
    <w:rsid w:val="00A84655"/>
    <w:rsid w:val="00A84AE5"/>
    <w:rsid w:val="00A857D0"/>
    <w:rsid w:val="00A85FD5"/>
    <w:rsid w:val="00A87435"/>
    <w:rsid w:val="00A878B8"/>
    <w:rsid w:val="00A904C5"/>
    <w:rsid w:val="00A90606"/>
    <w:rsid w:val="00A90614"/>
    <w:rsid w:val="00A91555"/>
    <w:rsid w:val="00A922A7"/>
    <w:rsid w:val="00A92695"/>
    <w:rsid w:val="00A927B3"/>
    <w:rsid w:val="00A93C64"/>
    <w:rsid w:val="00A93CD8"/>
    <w:rsid w:val="00A943F1"/>
    <w:rsid w:val="00A9484D"/>
    <w:rsid w:val="00A94AED"/>
    <w:rsid w:val="00A9597F"/>
    <w:rsid w:val="00A95A79"/>
    <w:rsid w:val="00A95E19"/>
    <w:rsid w:val="00A9656A"/>
    <w:rsid w:val="00A96716"/>
    <w:rsid w:val="00A9678F"/>
    <w:rsid w:val="00A96F1F"/>
    <w:rsid w:val="00A97F80"/>
    <w:rsid w:val="00A97F9F"/>
    <w:rsid w:val="00AA0273"/>
    <w:rsid w:val="00AA0496"/>
    <w:rsid w:val="00AA04BD"/>
    <w:rsid w:val="00AA1040"/>
    <w:rsid w:val="00AA13B4"/>
    <w:rsid w:val="00AA17B2"/>
    <w:rsid w:val="00AA1803"/>
    <w:rsid w:val="00AA1E8D"/>
    <w:rsid w:val="00AA1FDC"/>
    <w:rsid w:val="00AA21B8"/>
    <w:rsid w:val="00AA24AB"/>
    <w:rsid w:val="00AA25D2"/>
    <w:rsid w:val="00AA2F49"/>
    <w:rsid w:val="00AA3757"/>
    <w:rsid w:val="00AA3AE8"/>
    <w:rsid w:val="00AA4A9E"/>
    <w:rsid w:val="00AA51AC"/>
    <w:rsid w:val="00AA5308"/>
    <w:rsid w:val="00AA5EB8"/>
    <w:rsid w:val="00AA6079"/>
    <w:rsid w:val="00AA6239"/>
    <w:rsid w:val="00AA6912"/>
    <w:rsid w:val="00AA6960"/>
    <w:rsid w:val="00AB013D"/>
    <w:rsid w:val="00AB1760"/>
    <w:rsid w:val="00AB1763"/>
    <w:rsid w:val="00AB24F0"/>
    <w:rsid w:val="00AB26FB"/>
    <w:rsid w:val="00AB27F1"/>
    <w:rsid w:val="00AB2D7D"/>
    <w:rsid w:val="00AB2FD8"/>
    <w:rsid w:val="00AB3135"/>
    <w:rsid w:val="00AB3454"/>
    <w:rsid w:val="00AB3D5A"/>
    <w:rsid w:val="00AB3E56"/>
    <w:rsid w:val="00AB45C7"/>
    <w:rsid w:val="00AB481A"/>
    <w:rsid w:val="00AB4909"/>
    <w:rsid w:val="00AB4AE4"/>
    <w:rsid w:val="00AB4C19"/>
    <w:rsid w:val="00AB4EC5"/>
    <w:rsid w:val="00AB4EF4"/>
    <w:rsid w:val="00AB4F20"/>
    <w:rsid w:val="00AB5A98"/>
    <w:rsid w:val="00AB5B50"/>
    <w:rsid w:val="00AB5FCB"/>
    <w:rsid w:val="00AB665F"/>
    <w:rsid w:val="00AB67C3"/>
    <w:rsid w:val="00AB687A"/>
    <w:rsid w:val="00AB6C83"/>
    <w:rsid w:val="00AB7ADC"/>
    <w:rsid w:val="00AB7BFB"/>
    <w:rsid w:val="00AB7C9A"/>
    <w:rsid w:val="00AB7D7C"/>
    <w:rsid w:val="00AC002B"/>
    <w:rsid w:val="00AC0221"/>
    <w:rsid w:val="00AC0FFA"/>
    <w:rsid w:val="00AC18DC"/>
    <w:rsid w:val="00AC1D08"/>
    <w:rsid w:val="00AC2B92"/>
    <w:rsid w:val="00AC3138"/>
    <w:rsid w:val="00AC33CF"/>
    <w:rsid w:val="00AC39EF"/>
    <w:rsid w:val="00AC484C"/>
    <w:rsid w:val="00AC4A83"/>
    <w:rsid w:val="00AC6136"/>
    <w:rsid w:val="00AC6147"/>
    <w:rsid w:val="00AC671C"/>
    <w:rsid w:val="00AC67BE"/>
    <w:rsid w:val="00AC686F"/>
    <w:rsid w:val="00AC68D6"/>
    <w:rsid w:val="00AC7104"/>
    <w:rsid w:val="00AC72CC"/>
    <w:rsid w:val="00AC7EB6"/>
    <w:rsid w:val="00AD0212"/>
    <w:rsid w:val="00AD04EC"/>
    <w:rsid w:val="00AD0D27"/>
    <w:rsid w:val="00AD0F28"/>
    <w:rsid w:val="00AD0F66"/>
    <w:rsid w:val="00AD15A1"/>
    <w:rsid w:val="00AD177A"/>
    <w:rsid w:val="00AD184D"/>
    <w:rsid w:val="00AD2115"/>
    <w:rsid w:val="00AD23B3"/>
    <w:rsid w:val="00AD261F"/>
    <w:rsid w:val="00AD2D34"/>
    <w:rsid w:val="00AD3852"/>
    <w:rsid w:val="00AD3D0B"/>
    <w:rsid w:val="00AD5E65"/>
    <w:rsid w:val="00AD6245"/>
    <w:rsid w:val="00AD684F"/>
    <w:rsid w:val="00AD6B1C"/>
    <w:rsid w:val="00AD6F02"/>
    <w:rsid w:val="00AD7261"/>
    <w:rsid w:val="00AD72BE"/>
    <w:rsid w:val="00AD7B5E"/>
    <w:rsid w:val="00AE01F6"/>
    <w:rsid w:val="00AE07AB"/>
    <w:rsid w:val="00AE1CA9"/>
    <w:rsid w:val="00AE1FC8"/>
    <w:rsid w:val="00AE2003"/>
    <w:rsid w:val="00AE264A"/>
    <w:rsid w:val="00AE27FC"/>
    <w:rsid w:val="00AE2D01"/>
    <w:rsid w:val="00AE3240"/>
    <w:rsid w:val="00AE3F97"/>
    <w:rsid w:val="00AE45EB"/>
    <w:rsid w:val="00AE4A18"/>
    <w:rsid w:val="00AE4ACD"/>
    <w:rsid w:val="00AE4F8A"/>
    <w:rsid w:val="00AE5CC6"/>
    <w:rsid w:val="00AE6581"/>
    <w:rsid w:val="00AE684E"/>
    <w:rsid w:val="00AE686B"/>
    <w:rsid w:val="00AE69F8"/>
    <w:rsid w:val="00AE6AAB"/>
    <w:rsid w:val="00AE6CB4"/>
    <w:rsid w:val="00AE6E16"/>
    <w:rsid w:val="00AE6E2C"/>
    <w:rsid w:val="00AE7330"/>
    <w:rsid w:val="00AE744D"/>
    <w:rsid w:val="00AE76F3"/>
    <w:rsid w:val="00AE7907"/>
    <w:rsid w:val="00AE7B71"/>
    <w:rsid w:val="00AF0AE4"/>
    <w:rsid w:val="00AF0E18"/>
    <w:rsid w:val="00AF12D7"/>
    <w:rsid w:val="00AF1422"/>
    <w:rsid w:val="00AF184A"/>
    <w:rsid w:val="00AF199A"/>
    <w:rsid w:val="00AF1EDB"/>
    <w:rsid w:val="00AF2914"/>
    <w:rsid w:val="00AF29FE"/>
    <w:rsid w:val="00AF3688"/>
    <w:rsid w:val="00AF3C61"/>
    <w:rsid w:val="00AF3FED"/>
    <w:rsid w:val="00AF45D0"/>
    <w:rsid w:val="00AF483B"/>
    <w:rsid w:val="00AF4A33"/>
    <w:rsid w:val="00AF4AA1"/>
    <w:rsid w:val="00AF556F"/>
    <w:rsid w:val="00AF5882"/>
    <w:rsid w:val="00AF6E3B"/>
    <w:rsid w:val="00AF6FB8"/>
    <w:rsid w:val="00AF719B"/>
    <w:rsid w:val="00AF7227"/>
    <w:rsid w:val="00B00151"/>
    <w:rsid w:val="00B00448"/>
    <w:rsid w:val="00B005B3"/>
    <w:rsid w:val="00B016EB"/>
    <w:rsid w:val="00B027C6"/>
    <w:rsid w:val="00B02970"/>
    <w:rsid w:val="00B0297E"/>
    <w:rsid w:val="00B036CF"/>
    <w:rsid w:val="00B03B94"/>
    <w:rsid w:val="00B03C93"/>
    <w:rsid w:val="00B043FB"/>
    <w:rsid w:val="00B049AD"/>
    <w:rsid w:val="00B0633F"/>
    <w:rsid w:val="00B06E90"/>
    <w:rsid w:val="00B07309"/>
    <w:rsid w:val="00B07B71"/>
    <w:rsid w:val="00B07FD2"/>
    <w:rsid w:val="00B10245"/>
    <w:rsid w:val="00B1027F"/>
    <w:rsid w:val="00B10D28"/>
    <w:rsid w:val="00B118E2"/>
    <w:rsid w:val="00B11CBC"/>
    <w:rsid w:val="00B1221F"/>
    <w:rsid w:val="00B12544"/>
    <w:rsid w:val="00B12FF3"/>
    <w:rsid w:val="00B1317E"/>
    <w:rsid w:val="00B13318"/>
    <w:rsid w:val="00B13C11"/>
    <w:rsid w:val="00B13DA9"/>
    <w:rsid w:val="00B13FFC"/>
    <w:rsid w:val="00B140F0"/>
    <w:rsid w:val="00B14126"/>
    <w:rsid w:val="00B144A2"/>
    <w:rsid w:val="00B14A39"/>
    <w:rsid w:val="00B14B47"/>
    <w:rsid w:val="00B14C79"/>
    <w:rsid w:val="00B14D02"/>
    <w:rsid w:val="00B15159"/>
    <w:rsid w:val="00B1580A"/>
    <w:rsid w:val="00B163A0"/>
    <w:rsid w:val="00B168F3"/>
    <w:rsid w:val="00B16A04"/>
    <w:rsid w:val="00B16B59"/>
    <w:rsid w:val="00B17CB8"/>
    <w:rsid w:val="00B17D87"/>
    <w:rsid w:val="00B17F8D"/>
    <w:rsid w:val="00B17FB4"/>
    <w:rsid w:val="00B20B98"/>
    <w:rsid w:val="00B2121E"/>
    <w:rsid w:val="00B21502"/>
    <w:rsid w:val="00B217C0"/>
    <w:rsid w:val="00B21D41"/>
    <w:rsid w:val="00B222D7"/>
    <w:rsid w:val="00B22736"/>
    <w:rsid w:val="00B2276D"/>
    <w:rsid w:val="00B22B10"/>
    <w:rsid w:val="00B22B3F"/>
    <w:rsid w:val="00B22BD9"/>
    <w:rsid w:val="00B2311D"/>
    <w:rsid w:val="00B23776"/>
    <w:rsid w:val="00B2431E"/>
    <w:rsid w:val="00B248F6"/>
    <w:rsid w:val="00B25283"/>
    <w:rsid w:val="00B25435"/>
    <w:rsid w:val="00B25802"/>
    <w:rsid w:val="00B2587D"/>
    <w:rsid w:val="00B25B5E"/>
    <w:rsid w:val="00B25B66"/>
    <w:rsid w:val="00B25BA0"/>
    <w:rsid w:val="00B25D47"/>
    <w:rsid w:val="00B26000"/>
    <w:rsid w:val="00B2681C"/>
    <w:rsid w:val="00B26912"/>
    <w:rsid w:val="00B272CD"/>
    <w:rsid w:val="00B273D4"/>
    <w:rsid w:val="00B27B39"/>
    <w:rsid w:val="00B27CCA"/>
    <w:rsid w:val="00B30EF2"/>
    <w:rsid w:val="00B31154"/>
    <w:rsid w:val="00B31265"/>
    <w:rsid w:val="00B31F0B"/>
    <w:rsid w:val="00B32AD1"/>
    <w:rsid w:val="00B32EE4"/>
    <w:rsid w:val="00B330D5"/>
    <w:rsid w:val="00B338DF"/>
    <w:rsid w:val="00B339EA"/>
    <w:rsid w:val="00B34158"/>
    <w:rsid w:val="00B3438C"/>
    <w:rsid w:val="00B34806"/>
    <w:rsid w:val="00B34A12"/>
    <w:rsid w:val="00B35456"/>
    <w:rsid w:val="00B35C74"/>
    <w:rsid w:val="00B36196"/>
    <w:rsid w:val="00B36235"/>
    <w:rsid w:val="00B3653B"/>
    <w:rsid w:val="00B366B4"/>
    <w:rsid w:val="00B36A01"/>
    <w:rsid w:val="00B36C69"/>
    <w:rsid w:val="00B371FE"/>
    <w:rsid w:val="00B406A8"/>
    <w:rsid w:val="00B41826"/>
    <w:rsid w:val="00B41845"/>
    <w:rsid w:val="00B423B7"/>
    <w:rsid w:val="00B42A97"/>
    <w:rsid w:val="00B43005"/>
    <w:rsid w:val="00B43500"/>
    <w:rsid w:val="00B439D6"/>
    <w:rsid w:val="00B43C9C"/>
    <w:rsid w:val="00B44C5C"/>
    <w:rsid w:val="00B457D3"/>
    <w:rsid w:val="00B45C6D"/>
    <w:rsid w:val="00B4625D"/>
    <w:rsid w:val="00B466F8"/>
    <w:rsid w:val="00B46775"/>
    <w:rsid w:val="00B46A99"/>
    <w:rsid w:val="00B473CC"/>
    <w:rsid w:val="00B476FF"/>
    <w:rsid w:val="00B477FE"/>
    <w:rsid w:val="00B4789B"/>
    <w:rsid w:val="00B50AD3"/>
    <w:rsid w:val="00B51149"/>
    <w:rsid w:val="00B512D1"/>
    <w:rsid w:val="00B5205B"/>
    <w:rsid w:val="00B52487"/>
    <w:rsid w:val="00B52E29"/>
    <w:rsid w:val="00B53A08"/>
    <w:rsid w:val="00B53E2C"/>
    <w:rsid w:val="00B53EFF"/>
    <w:rsid w:val="00B54279"/>
    <w:rsid w:val="00B542A5"/>
    <w:rsid w:val="00B545BE"/>
    <w:rsid w:val="00B54C03"/>
    <w:rsid w:val="00B551C7"/>
    <w:rsid w:val="00B5543C"/>
    <w:rsid w:val="00B555BA"/>
    <w:rsid w:val="00B556CB"/>
    <w:rsid w:val="00B55709"/>
    <w:rsid w:val="00B55D68"/>
    <w:rsid w:val="00B561E2"/>
    <w:rsid w:val="00B56477"/>
    <w:rsid w:val="00B566A5"/>
    <w:rsid w:val="00B56744"/>
    <w:rsid w:val="00B60A9D"/>
    <w:rsid w:val="00B60C3A"/>
    <w:rsid w:val="00B60D69"/>
    <w:rsid w:val="00B60E80"/>
    <w:rsid w:val="00B60FC7"/>
    <w:rsid w:val="00B611C0"/>
    <w:rsid w:val="00B61564"/>
    <w:rsid w:val="00B626F7"/>
    <w:rsid w:val="00B62BF4"/>
    <w:rsid w:val="00B6324F"/>
    <w:rsid w:val="00B63507"/>
    <w:rsid w:val="00B63676"/>
    <w:rsid w:val="00B63AE1"/>
    <w:rsid w:val="00B63BB6"/>
    <w:rsid w:val="00B643E0"/>
    <w:rsid w:val="00B64C47"/>
    <w:rsid w:val="00B65228"/>
    <w:rsid w:val="00B656C1"/>
    <w:rsid w:val="00B6595A"/>
    <w:rsid w:val="00B70458"/>
    <w:rsid w:val="00B704BD"/>
    <w:rsid w:val="00B70CDB"/>
    <w:rsid w:val="00B722E9"/>
    <w:rsid w:val="00B729B8"/>
    <w:rsid w:val="00B72E57"/>
    <w:rsid w:val="00B72E5F"/>
    <w:rsid w:val="00B72FDE"/>
    <w:rsid w:val="00B730AF"/>
    <w:rsid w:val="00B735F0"/>
    <w:rsid w:val="00B74526"/>
    <w:rsid w:val="00B7493B"/>
    <w:rsid w:val="00B74F24"/>
    <w:rsid w:val="00B756A1"/>
    <w:rsid w:val="00B75F6A"/>
    <w:rsid w:val="00B76523"/>
    <w:rsid w:val="00B7668F"/>
    <w:rsid w:val="00B76B1A"/>
    <w:rsid w:val="00B76D1F"/>
    <w:rsid w:val="00B775BC"/>
    <w:rsid w:val="00B77A46"/>
    <w:rsid w:val="00B77A7C"/>
    <w:rsid w:val="00B80582"/>
    <w:rsid w:val="00B807E7"/>
    <w:rsid w:val="00B80AC2"/>
    <w:rsid w:val="00B80AD3"/>
    <w:rsid w:val="00B80DE2"/>
    <w:rsid w:val="00B81371"/>
    <w:rsid w:val="00B814EC"/>
    <w:rsid w:val="00B81753"/>
    <w:rsid w:val="00B818BD"/>
    <w:rsid w:val="00B823AD"/>
    <w:rsid w:val="00B82685"/>
    <w:rsid w:val="00B82967"/>
    <w:rsid w:val="00B82A98"/>
    <w:rsid w:val="00B82D8E"/>
    <w:rsid w:val="00B83B7C"/>
    <w:rsid w:val="00B83CE8"/>
    <w:rsid w:val="00B83E08"/>
    <w:rsid w:val="00B84030"/>
    <w:rsid w:val="00B840C5"/>
    <w:rsid w:val="00B848D3"/>
    <w:rsid w:val="00B84EB7"/>
    <w:rsid w:val="00B84ED3"/>
    <w:rsid w:val="00B85BB6"/>
    <w:rsid w:val="00B85C06"/>
    <w:rsid w:val="00B85C6D"/>
    <w:rsid w:val="00B864F0"/>
    <w:rsid w:val="00B87045"/>
    <w:rsid w:val="00B87AC7"/>
    <w:rsid w:val="00B87B64"/>
    <w:rsid w:val="00B87CB5"/>
    <w:rsid w:val="00B90202"/>
    <w:rsid w:val="00B902B1"/>
    <w:rsid w:val="00B90D85"/>
    <w:rsid w:val="00B90DA1"/>
    <w:rsid w:val="00B91757"/>
    <w:rsid w:val="00B91B98"/>
    <w:rsid w:val="00B92463"/>
    <w:rsid w:val="00B92603"/>
    <w:rsid w:val="00B92A7F"/>
    <w:rsid w:val="00B93472"/>
    <w:rsid w:val="00B938FE"/>
    <w:rsid w:val="00B93C01"/>
    <w:rsid w:val="00B93CE1"/>
    <w:rsid w:val="00B9417A"/>
    <w:rsid w:val="00B9446B"/>
    <w:rsid w:val="00B94524"/>
    <w:rsid w:val="00B9460E"/>
    <w:rsid w:val="00B94979"/>
    <w:rsid w:val="00B94EAC"/>
    <w:rsid w:val="00B95200"/>
    <w:rsid w:val="00B955CB"/>
    <w:rsid w:val="00B95662"/>
    <w:rsid w:val="00B95BD8"/>
    <w:rsid w:val="00B96150"/>
    <w:rsid w:val="00B970B5"/>
    <w:rsid w:val="00BA11E8"/>
    <w:rsid w:val="00BA1561"/>
    <w:rsid w:val="00BA2B8B"/>
    <w:rsid w:val="00BA3178"/>
    <w:rsid w:val="00BA4578"/>
    <w:rsid w:val="00BA5593"/>
    <w:rsid w:val="00BA6320"/>
    <w:rsid w:val="00BA659C"/>
    <w:rsid w:val="00BA689B"/>
    <w:rsid w:val="00BA6BD8"/>
    <w:rsid w:val="00BA7073"/>
    <w:rsid w:val="00BA7F92"/>
    <w:rsid w:val="00BB03A5"/>
    <w:rsid w:val="00BB113D"/>
    <w:rsid w:val="00BB1887"/>
    <w:rsid w:val="00BB1A47"/>
    <w:rsid w:val="00BB2012"/>
    <w:rsid w:val="00BB21BD"/>
    <w:rsid w:val="00BB3443"/>
    <w:rsid w:val="00BB4021"/>
    <w:rsid w:val="00BB4089"/>
    <w:rsid w:val="00BB409D"/>
    <w:rsid w:val="00BB425A"/>
    <w:rsid w:val="00BB4808"/>
    <w:rsid w:val="00BB4917"/>
    <w:rsid w:val="00BB495D"/>
    <w:rsid w:val="00BB4A9C"/>
    <w:rsid w:val="00BB4BF6"/>
    <w:rsid w:val="00BB553D"/>
    <w:rsid w:val="00BB5B62"/>
    <w:rsid w:val="00BB5E6C"/>
    <w:rsid w:val="00BB6164"/>
    <w:rsid w:val="00BB6F9F"/>
    <w:rsid w:val="00BB7119"/>
    <w:rsid w:val="00BC141E"/>
    <w:rsid w:val="00BC1531"/>
    <w:rsid w:val="00BC15E1"/>
    <w:rsid w:val="00BC1F06"/>
    <w:rsid w:val="00BC1F98"/>
    <w:rsid w:val="00BC2164"/>
    <w:rsid w:val="00BC23C1"/>
    <w:rsid w:val="00BC2474"/>
    <w:rsid w:val="00BC345A"/>
    <w:rsid w:val="00BC5268"/>
    <w:rsid w:val="00BC5666"/>
    <w:rsid w:val="00BC57ED"/>
    <w:rsid w:val="00BC59AF"/>
    <w:rsid w:val="00BC5DD8"/>
    <w:rsid w:val="00BC6067"/>
    <w:rsid w:val="00BC66F5"/>
    <w:rsid w:val="00BC6711"/>
    <w:rsid w:val="00BC6AF8"/>
    <w:rsid w:val="00BC6FC4"/>
    <w:rsid w:val="00BC76B3"/>
    <w:rsid w:val="00BC79B6"/>
    <w:rsid w:val="00BC7A69"/>
    <w:rsid w:val="00BC7B0B"/>
    <w:rsid w:val="00BD00A4"/>
    <w:rsid w:val="00BD0C00"/>
    <w:rsid w:val="00BD1398"/>
    <w:rsid w:val="00BD351B"/>
    <w:rsid w:val="00BD35DB"/>
    <w:rsid w:val="00BD3765"/>
    <w:rsid w:val="00BD382A"/>
    <w:rsid w:val="00BD3EF1"/>
    <w:rsid w:val="00BD4445"/>
    <w:rsid w:val="00BD4986"/>
    <w:rsid w:val="00BD49F5"/>
    <w:rsid w:val="00BD4D3C"/>
    <w:rsid w:val="00BD588F"/>
    <w:rsid w:val="00BD5FE4"/>
    <w:rsid w:val="00BD68D4"/>
    <w:rsid w:val="00BD69B8"/>
    <w:rsid w:val="00BD6E20"/>
    <w:rsid w:val="00BD6F8C"/>
    <w:rsid w:val="00BD7701"/>
    <w:rsid w:val="00BD7AF0"/>
    <w:rsid w:val="00BE04C4"/>
    <w:rsid w:val="00BE0A03"/>
    <w:rsid w:val="00BE11F3"/>
    <w:rsid w:val="00BE14AC"/>
    <w:rsid w:val="00BE15D8"/>
    <w:rsid w:val="00BE1DE5"/>
    <w:rsid w:val="00BE1E7E"/>
    <w:rsid w:val="00BE21EA"/>
    <w:rsid w:val="00BE2DFC"/>
    <w:rsid w:val="00BE2E4D"/>
    <w:rsid w:val="00BE3545"/>
    <w:rsid w:val="00BE3558"/>
    <w:rsid w:val="00BE3C06"/>
    <w:rsid w:val="00BE4144"/>
    <w:rsid w:val="00BE46E3"/>
    <w:rsid w:val="00BE487B"/>
    <w:rsid w:val="00BE48D7"/>
    <w:rsid w:val="00BE4B0C"/>
    <w:rsid w:val="00BE5475"/>
    <w:rsid w:val="00BE5C50"/>
    <w:rsid w:val="00BE68B5"/>
    <w:rsid w:val="00BE6F4F"/>
    <w:rsid w:val="00BE78AB"/>
    <w:rsid w:val="00BE79CE"/>
    <w:rsid w:val="00BF05C3"/>
    <w:rsid w:val="00BF090A"/>
    <w:rsid w:val="00BF0BF8"/>
    <w:rsid w:val="00BF0CC6"/>
    <w:rsid w:val="00BF0D7B"/>
    <w:rsid w:val="00BF1A76"/>
    <w:rsid w:val="00BF1B55"/>
    <w:rsid w:val="00BF279C"/>
    <w:rsid w:val="00BF2E64"/>
    <w:rsid w:val="00BF347A"/>
    <w:rsid w:val="00BF381F"/>
    <w:rsid w:val="00BF3AF1"/>
    <w:rsid w:val="00BF3C1A"/>
    <w:rsid w:val="00BF3E5C"/>
    <w:rsid w:val="00BF3F17"/>
    <w:rsid w:val="00BF40AD"/>
    <w:rsid w:val="00BF427D"/>
    <w:rsid w:val="00BF549D"/>
    <w:rsid w:val="00BF54CD"/>
    <w:rsid w:val="00BF57AD"/>
    <w:rsid w:val="00BF64D6"/>
    <w:rsid w:val="00BF6A05"/>
    <w:rsid w:val="00BF6F61"/>
    <w:rsid w:val="00BF7066"/>
    <w:rsid w:val="00BF71F5"/>
    <w:rsid w:val="00C0015C"/>
    <w:rsid w:val="00C001AC"/>
    <w:rsid w:val="00C008E7"/>
    <w:rsid w:val="00C00E11"/>
    <w:rsid w:val="00C00E40"/>
    <w:rsid w:val="00C012A9"/>
    <w:rsid w:val="00C013D2"/>
    <w:rsid w:val="00C016EF"/>
    <w:rsid w:val="00C018E3"/>
    <w:rsid w:val="00C01F75"/>
    <w:rsid w:val="00C021FC"/>
    <w:rsid w:val="00C02C4C"/>
    <w:rsid w:val="00C02C5F"/>
    <w:rsid w:val="00C02CBF"/>
    <w:rsid w:val="00C02E19"/>
    <w:rsid w:val="00C03494"/>
    <w:rsid w:val="00C034FE"/>
    <w:rsid w:val="00C0361C"/>
    <w:rsid w:val="00C03958"/>
    <w:rsid w:val="00C049F2"/>
    <w:rsid w:val="00C04CE3"/>
    <w:rsid w:val="00C04D1D"/>
    <w:rsid w:val="00C04F0D"/>
    <w:rsid w:val="00C05025"/>
    <w:rsid w:val="00C05712"/>
    <w:rsid w:val="00C05FB8"/>
    <w:rsid w:val="00C05FD1"/>
    <w:rsid w:val="00C0620A"/>
    <w:rsid w:val="00C0636C"/>
    <w:rsid w:val="00C06454"/>
    <w:rsid w:val="00C068E7"/>
    <w:rsid w:val="00C06A87"/>
    <w:rsid w:val="00C06AF8"/>
    <w:rsid w:val="00C0717D"/>
    <w:rsid w:val="00C07306"/>
    <w:rsid w:val="00C102D9"/>
    <w:rsid w:val="00C10680"/>
    <w:rsid w:val="00C109BB"/>
    <w:rsid w:val="00C10B94"/>
    <w:rsid w:val="00C1107E"/>
    <w:rsid w:val="00C11241"/>
    <w:rsid w:val="00C11474"/>
    <w:rsid w:val="00C11E14"/>
    <w:rsid w:val="00C12E33"/>
    <w:rsid w:val="00C1324A"/>
    <w:rsid w:val="00C13C2C"/>
    <w:rsid w:val="00C13EAA"/>
    <w:rsid w:val="00C13F1B"/>
    <w:rsid w:val="00C14B7E"/>
    <w:rsid w:val="00C14CB1"/>
    <w:rsid w:val="00C157D8"/>
    <w:rsid w:val="00C15B2E"/>
    <w:rsid w:val="00C15B80"/>
    <w:rsid w:val="00C15F99"/>
    <w:rsid w:val="00C1653A"/>
    <w:rsid w:val="00C1692C"/>
    <w:rsid w:val="00C1763F"/>
    <w:rsid w:val="00C17B01"/>
    <w:rsid w:val="00C17B83"/>
    <w:rsid w:val="00C17BE7"/>
    <w:rsid w:val="00C2044E"/>
    <w:rsid w:val="00C206CD"/>
    <w:rsid w:val="00C20EBE"/>
    <w:rsid w:val="00C211A9"/>
    <w:rsid w:val="00C21249"/>
    <w:rsid w:val="00C212A4"/>
    <w:rsid w:val="00C2145B"/>
    <w:rsid w:val="00C21F94"/>
    <w:rsid w:val="00C22489"/>
    <w:rsid w:val="00C2271C"/>
    <w:rsid w:val="00C22BE9"/>
    <w:rsid w:val="00C22C9E"/>
    <w:rsid w:val="00C22F94"/>
    <w:rsid w:val="00C2354C"/>
    <w:rsid w:val="00C242CD"/>
    <w:rsid w:val="00C24D54"/>
    <w:rsid w:val="00C25139"/>
    <w:rsid w:val="00C26387"/>
    <w:rsid w:val="00C2645C"/>
    <w:rsid w:val="00C26ADA"/>
    <w:rsid w:val="00C26D96"/>
    <w:rsid w:val="00C26E03"/>
    <w:rsid w:val="00C26E7C"/>
    <w:rsid w:val="00C2735E"/>
    <w:rsid w:val="00C306BF"/>
    <w:rsid w:val="00C30767"/>
    <w:rsid w:val="00C30A52"/>
    <w:rsid w:val="00C31754"/>
    <w:rsid w:val="00C31760"/>
    <w:rsid w:val="00C31FC6"/>
    <w:rsid w:val="00C320D4"/>
    <w:rsid w:val="00C3235F"/>
    <w:rsid w:val="00C32DA5"/>
    <w:rsid w:val="00C32F14"/>
    <w:rsid w:val="00C334B2"/>
    <w:rsid w:val="00C33CDF"/>
    <w:rsid w:val="00C341FA"/>
    <w:rsid w:val="00C34611"/>
    <w:rsid w:val="00C3564B"/>
    <w:rsid w:val="00C357EA"/>
    <w:rsid w:val="00C35BAB"/>
    <w:rsid w:val="00C35DBC"/>
    <w:rsid w:val="00C35E04"/>
    <w:rsid w:val="00C36F61"/>
    <w:rsid w:val="00C370B8"/>
    <w:rsid w:val="00C37310"/>
    <w:rsid w:val="00C37434"/>
    <w:rsid w:val="00C37D73"/>
    <w:rsid w:val="00C4036D"/>
    <w:rsid w:val="00C40D96"/>
    <w:rsid w:val="00C411AE"/>
    <w:rsid w:val="00C41214"/>
    <w:rsid w:val="00C41561"/>
    <w:rsid w:val="00C416B4"/>
    <w:rsid w:val="00C41757"/>
    <w:rsid w:val="00C419D6"/>
    <w:rsid w:val="00C42532"/>
    <w:rsid w:val="00C42A55"/>
    <w:rsid w:val="00C42D8B"/>
    <w:rsid w:val="00C43313"/>
    <w:rsid w:val="00C43900"/>
    <w:rsid w:val="00C43C77"/>
    <w:rsid w:val="00C4450E"/>
    <w:rsid w:val="00C44C23"/>
    <w:rsid w:val="00C44CDA"/>
    <w:rsid w:val="00C45213"/>
    <w:rsid w:val="00C4536C"/>
    <w:rsid w:val="00C4539E"/>
    <w:rsid w:val="00C457A7"/>
    <w:rsid w:val="00C45A26"/>
    <w:rsid w:val="00C46228"/>
    <w:rsid w:val="00C463D4"/>
    <w:rsid w:val="00C46459"/>
    <w:rsid w:val="00C46744"/>
    <w:rsid w:val="00C46C0D"/>
    <w:rsid w:val="00C46EFD"/>
    <w:rsid w:val="00C47F1F"/>
    <w:rsid w:val="00C50276"/>
    <w:rsid w:val="00C502B7"/>
    <w:rsid w:val="00C50490"/>
    <w:rsid w:val="00C50B3F"/>
    <w:rsid w:val="00C51CD6"/>
    <w:rsid w:val="00C5267B"/>
    <w:rsid w:val="00C52EC6"/>
    <w:rsid w:val="00C5357E"/>
    <w:rsid w:val="00C5454F"/>
    <w:rsid w:val="00C545B1"/>
    <w:rsid w:val="00C545F8"/>
    <w:rsid w:val="00C54CCB"/>
    <w:rsid w:val="00C55677"/>
    <w:rsid w:val="00C56074"/>
    <w:rsid w:val="00C565AC"/>
    <w:rsid w:val="00C5661F"/>
    <w:rsid w:val="00C569AF"/>
    <w:rsid w:val="00C56C58"/>
    <w:rsid w:val="00C56DB6"/>
    <w:rsid w:val="00C56FF8"/>
    <w:rsid w:val="00C57250"/>
    <w:rsid w:val="00C579B1"/>
    <w:rsid w:val="00C605EB"/>
    <w:rsid w:val="00C608AF"/>
    <w:rsid w:val="00C61192"/>
    <w:rsid w:val="00C61B84"/>
    <w:rsid w:val="00C6233E"/>
    <w:rsid w:val="00C62AD4"/>
    <w:rsid w:val="00C634FF"/>
    <w:rsid w:val="00C6354E"/>
    <w:rsid w:val="00C6375E"/>
    <w:rsid w:val="00C6397C"/>
    <w:rsid w:val="00C63C79"/>
    <w:rsid w:val="00C650BF"/>
    <w:rsid w:val="00C653CA"/>
    <w:rsid w:val="00C656B3"/>
    <w:rsid w:val="00C6577A"/>
    <w:rsid w:val="00C65D2C"/>
    <w:rsid w:val="00C662D5"/>
    <w:rsid w:val="00C66508"/>
    <w:rsid w:val="00C665E5"/>
    <w:rsid w:val="00C66F42"/>
    <w:rsid w:val="00C67CF0"/>
    <w:rsid w:val="00C70CC3"/>
    <w:rsid w:val="00C70E22"/>
    <w:rsid w:val="00C70F41"/>
    <w:rsid w:val="00C711FA"/>
    <w:rsid w:val="00C713C8"/>
    <w:rsid w:val="00C71768"/>
    <w:rsid w:val="00C728F5"/>
    <w:rsid w:val="00C72D72"/>
    <w:rsid w:val="00C72E2F"/>
    <w:rsid w:val="00C73098"/>
    <w:rsid w:val="00C731D9"/>
    <w:rsid w:val="00C73310"/>
    <w:rsid w:val="00C73C69"/>
    <w:rsid w:val="00C74180"/>
    <w:rsid w:val="00C7422F"/>
    <w:rsid w:val="00C74233"/>
    <w:rsid w:val="00C743BA"/>
    <w:rsid w:val="00C7463C"/>
    <w:rsid w:val="00C74714"/>
    <w:rsid w:val="00C74A23"/>
    <w:rsid w:val="00C751AE"/>
    <w:rsid w:val="00C75382"/>
    <w:rsid w:val="00C7613B"/>
    <w:rsid w:val="00C76A60"/>
    <w:rsid w:val="00C77180"/>
    <w:rsid w:val="00C77519"/>
    <w:rsid w:val="00C77701"/>
    <w:rsid w:val="00C77C90"/>
    <w:rsid w:val="00C77F8D"/>
    <w:rsid w:val="00C8046F"/>
    <w:rsid w:val="00C80F53"/>
    <w:rsid w:val="00C817D5"/>
    <w:rsid w:val="00C819A1"/>
    <w:rsid w:val="00C827E5"/>
    <w:rsid w:val="00C828CD"/>
    <w:rsid w:val="00C83584"/>
    <w:rsid w:val="00C836EC"/>
    <w:rsid w:val="00C83A61"/>
    <w:rsid w:val="00C8409B"/>
    <w:rsid w:val="00C841B3"/>
    <w:rsid w:val="00C8499A"/>
    <w:rsid w:val="00C85A1E"/>
    <w:rsid w:val="00C85C41"/>
    <w:rsid w:val="00C8630C"/>
    <w:rsid w:val="00C86BD4"/>
    <w:rsid w:val="00C87A82"/>
    <w:rsid w:val="00C87FEC"/>
    <w:rsid w:val="00C91330"/>
    <w:rsid w:val="00C91904"/>
    <w:rsid w:val="00C92DCE"/>
    <w:rsid w:val="00C9309B"/>
    <w:rsid w:val="00C93168"/>
    <w:rsid w:val="00C9338C"/>
    <w:rsid w:val="00C933EB"/>
    <w:rsid w:val="00C93D7C"/>
    <w:rsid w:val="00C93FDD"/>
    <w:rsid w:val="00C942A5"/>
    <w:rsid w:val="00C943D3"/>
    <w:rsid w:val="00C94A6A"/>
    <w:rsid w:val="00C952C0"/>
    <w:rsid w:val="00C95856"/>
    <w:rsid w:val="00C959EA"/>
    <w:rsid w:val="00C964D3"/>
    <w:rsid w:val="00C9686E"/>
    <w:rsid w:val="00CA0E13"/>
    <w:rsid w:val="00CA12BE"/>
    <w:rsid w:val="00CA13F1"/>
    <w:rsid w:val="00CA1903"/>
    <w:rsid w:val="00CA19F2"/>
    <w:rsid w:val="00CA1ADD"/>
    <w:rsid w:val="00CA1C25"/>
    <w:rsid w:val="00CA1D3A"/>
    <w:rsid w:val="00CA25B0"/>
    <w:rsid w:val="00CA2801"/>
    <w:rsid w:val="00CA2F55"/>
    <w:rsid w:val="00CA3498"/>
    <w:rsid w:val="00CA35B5"/>
    <w:rsid w:val="00CA373C"/>
    <w:rsid w:val="00CA37DD"/>
    <w:rsid w:val="00CA3C3E"/>
    <w:rsid w:val="00CA4020"/>
    <w:rsid w:val="00CA4572"/>
    <w:rsid w:val="00CA476A"/>
    <w:rsid w:val="00CA4785"/>
    <w:rsid w:val="00CA4CA9"/>
    <w:rsid w:val="00CA4E40"/>
    <w:rsid w:val="00CA5055"/>
    <w:rsid w:val="00CA5229"/>
    <w:rsid w:val="00CA6C5B"/>
    <w:rsid w:val="00CA7374"/>
    <w:rsid w:val="00CB02A9"/>
    <w:rsid w:val="00CB03F1"/>
    <w:rsid w:val="00CB064E"/>
    <w:rsid w:val="00CB0B1C"/>
    <w:rsid w:val="00CB16B4"/>
    <w:rsid w:val="00CB18D1"/>
    <w:rsid w:val="00CB1F8B"/>
    <w:rsid w:val="00CB2117"/>
    <w:rsid w:val="00CB2315"/>
    <w:rsid w:val="00CB2348"/>
    <w:rsid w:val="00CB2789"/>
    <w:rsid w:val="00CB3059"/>
    <w:rsid w:val="00CB313A"/>
    <w:rsid w:val="00CB4391"/>
    <w:rsid w:val="00CB43DD"/>
    <w:rsid w:val="00CB4D04"/>
    <w:rsid w:val="00CB4DA6"/>
    <w:rsid w:val="00CB4DCA"/>
    <w:rsid w:val="00CB5755"/>
    <w:rsid w:val="00CB5E96"/>
    <w:rsid w:val="00CB6174"/>
    <w:rsid w:val="00CB6C45"/>
    <w:rsid w:val="00CB6DA0"/>
    <w:rsid w:val="00CB7295"/>
    <w:rsid w:val="00CB75F1"/>
    <w:rsid w:val="00CC0396"/>
    <w:rsid w:val="00CC04AD"/>
    <w:rsid w:val="00CC0C4B"/>
    <w:rsid w:val="00CC0EFC"/>
    <w:rsid w:val="00CC174A"/>
    <w:rsid w:val="00CC1BF4"/>
    <w:rsid w:val="00CC2B7C"/>
    <w:rsid w:val="00CC2C44"/>
    <w:rsid w:val="00CC2D1C"/>
    <w:rsid w:val="00CC33E9"/>
    <w:rsid w:val="00CC3DF7"/>
    <w:rsid w:val="00CC4219"/>
    <w:rsid w:val="00CC4745"/>
    <w:rsid w:val="00CC48FD"/>
    <w:rsid w:val="00CC49F6"/>
    <w:rsid w:val="00CC4A50"/>
    <w:rsid w:val="00CC5175"/>
    <w:rsid w:val="00CC5500"/>
    <w:rsid w:val="00CC5583"/>
    <w:rsid w:val="00CC5A87"/>
    <w:rsid w:val="00CC6051"/>
    <w:rsid w:val="00CC6A2D"/>
    <w:rsid w:val="00CC7499"/>
    <w:rsid w:val="00CC7BEF"/>
    <w:rsid w:val="00CD0A5F"/>
    <w:rsid w:val="00CD0BF7"/>
    <w:rsid w:val="00CD1065"/>
    <w:rsid w:val="00CD113B"/>
    <w:rsid w:val="00CD12BA"/>
    <w:rsid w:val="00CD13F6"/>
    <w:rsid w:val="00CD1505"/>
    <w:rsid w:val="00CD1A5B"/>
    <w:rsid w:val="00CD1CF5"/>
    <w:rsid w:val="00CD1F8B"/>
    <w:rsid w:val="00CD2216"/>
    <w:rsid w:val="00CD386C"/>
    <w:rsid w:val="00CD422F"/>
    <w:rsid w:val="00CD50B0"/>
    <w:rsid w:val="00CD5171"/>
    <w:rsid w:val="00CD56BB"/>
    <w:rsid w:val="00CD57FD"/>
    <w:rsid w:val="00CD633D"/>
    <w:rsid w:val="00CD6911"/>
    <w:rsid w:val="00CD6EA0"/>
    <w:rsid w:val="00CD7044"/>
    <w:rsid w:val="00CD7D71"/>
    <w:rsid w:val="00CE069F"/>
    <w:rsid w:val="00CE0BE2"/>
    <w:rsid w:val="00CE12B5"/>
    <w:rsid w:val="00CE1D9D"/>
    <w:rsid w:val="00CE22DE"/>
    <w:rsid w:val="00CE2750"/>
    <w:rsid w:val="00CE29F9"/>
    <w:rsid w:val="00CE2B0C"/>
    <w:rsid w:val="00CE2C54"/>
    <w:rsid w:val="00CE31F4"/>
    <w:rsid w:val="00CE330A"/>
    <w:rsid w:val="00CE38D4"/>
    <w:rsid w:val="00CE3EE9"/>
    <w:rsid w:val="00CE3F93"/>
    <w:rsid w:val="00CE458C"/>
    <w:rsid w:val="00CE4CF2"/>
    <w:rsid w:val="00CE4E63"/>
    <w:rsid w:val="00CE513C"/>
    <w:rsid w:val="00CE57DD"/>
    <w:rsid w:val="00CE5956"/>
    <w:rsid w:val="00CE5D72"/>
    <w:rsid w:val="00CE6979"/>
    <w:rsid w:val="00CE7041"/>
    <w:rsid w:val="00CE7141"/>
    <w:rsid w:val="00CE785E"/>
    <w:rsid w:val="00CE7868"/>
    <w:rsid w:val="00CE7AA5"/>
    <w:rsid w:val="00CE7AD2"/>
    <w:rsid w:val="00CF05F5"/>
    <w:rsid w:val="00CF07D2"/>
    <w:rsid w:val="00CF0E9A"/>
    <w:rsid w:val="00CF10C0"/>
    <w:rsid w:val="00CF1194"/>
    <w:rsid w:val="00CF1347"/>
    <w:rsid w:val="00CF14EE"/>
    <w:rsid w:val="00CF1842"/>
    <w:rsid w:val="00CF18B2"/>
    <w:rsid w:val="00CF18DB"/>
    <w:rsid w:val="00CF1A46"/>
    <w:rsid w:val="00CF1CFA"/>
    <w:rsid w:val="00CF34BE"/>
    <w:rsid w:val="00CF364F"/>
    <w:rsid w:val="00CF36AE"/>
    <w:rsid w:val="00CF471C"/>
    <w:rsid w:val="00CF4EE8"/>
    <w:rsid w:val="00CF4F5E"/>
    <w:rsid w:val="00CF51F5"/>
    <w:rsid w:val="00CF569B"/>
    <w:rsid w:val="00CF6FB5"/>
    <w:rsid w:val="00CF7D68"/>
    <w:rsid w:val="00CF7FD2"/>
    <w:rsid w:val="00CF7FF2"/>
    <w:rsid w:val="00D002D3"/>
    <w:rsid w:val="00D003A1"/>
    <w:rsid w:val="00D00FE6"/>
    <w:rsid w:val="00D013B8"/>
    <w:rsid w:val="00D016BC"/>
    <w:rsid w:val="00D016C4"/>
    <w:rsid w:val="00D01986"/>
    <w:rsid w:val="00D01B51"/>
    <w:rsid w:val="00D0261D"/>
    <w:rsid w:val="00D02AA1"/>
    <w:rsid w:val="00D033C0"/>
    <w:rsid w:val="00D0359A"/>
    <w:rsid w:val="00D039CE"/>
    <w:rsid w:val="00D03DF4"/>
    <w:rsid w:val="00D03EB3"/>
    <w:rsid w:val="00D040E6"/>
    <w:rsid w:val="00D047FF"/>
    <w:rsid w:val="00D0549C"/>
    <w:rsid w:val="00D057F4"/>
    <w:rsid w:val="00D06A64"/>
    <w:rsid w:val="00D074A7"/>
    <w:rsid w:val="00D075C2"/>
    <w:rsid w:val="00D07882"/>
    <w:rsid w:val="00D100DE"/>
    <w:rsid w:val="00D10938"/>
    <w:rsid w:val="00D11760"/>
    <w:rsid w:val="00D11AAC"/>
    <w:rsid w:val="00D11EEE"/>
    <w:rsid w:val="00D13C26"/>
    <w:rsid w:val="00D14206"/>
    <w:rsid w:val="00D14416"/>
    <w:rsid w:val="00D1471C"/>
    <w:rsid w:val="00D149C5"/>
    <w:rsid w:val="00D14E6A"/>
    <w:rsid w:val="00D14FD3"/>
    <w:rsid w:val="00D15632"/>
    <w:rsid w:val="00D157A3"/>
    <w:rsid w:val="00D16176"/>
    <w:rsid w:val="00D201C4"/>
    <w:rsid w:val="00D203A4"/>
    <w:rsid w:val="00D20D52"/>
    <w:rsid w:val="00D20DCF"/>
    <w:rsid w:val="00D21083"/>
    <w:rsid w:val="00D21176"/>
    <w:rsid w:val="00D211AB"/>
    <w:rsid w:val="00D211DD"/>
    <w:rsid w:val="00D212CB"/>
    <w:rsid w:val="00D21777"/>
    <w:rsid w:val="00D218DF"/>
    <w:rsid w:val="00D221F0"/>
    <w:rsid w:val="00D2274A"/>
    <w:rsid w:val="00D227F4"/>
    <w:rsid w:val="00D229FA"/>
    <w:rsid w:val="00D22BA6"/>
    <w:rsid w:val="00D230DE"/>
    <w:rsid w:val="00D232FC"/>
    <w:rsid w:val="00D23929"/>
    <w:rsid w:val="00D23D65"/>
    <w:rsid w:val="00D2470A"/>
    <w:rsid w:val="00D256AD"/>
    <w:rsid w:val="00D269C5"/>
    <w:rsid w:val="00D26AB8"/>
    <w:rsid w:val="00D26BA5"/>
    <w:rsid w:val="00D272AC"/>
    <w:rsid w:val="00D277A9"/>
    <w:rsid w:val="00D27A64"/>
    <w:rsid w:val="00D27BC8"/>
    <w:rsid w:val="00D301B9"/>
    <w:rsid w:val="00D30D45"/>
    <w:rsid w:val="00D31024"/>
    <w:rsid w:val="00D31379"/>
    <w:rsid w:val="00D32478"/>
    <w:rsid w:val="00D325EF"/>
    <w:rsid w:val="00D32B33"/>
    <w:rsid w:val="00D33014"/>
    <w:rsid w:val="00D33462"/>
    <w:rsid w:val="00D33602"/>
    <w:rsid w:val="00D336C0"/>
    <w:rsid w:val="00D33C86"/>
    <w:rsid w:val="00D33CFF"/>
    <w:rsid w:val="00D33E7D"/>
    <w:rsid w:val="00D340D6"/>
    <w:rsid w:val="00D34484"/>
    <w:rsid w:val="00D345B8"/>
    <w:rsid w:val="00D345CE"/>
    <w:rsid w:val="00D3460B"/>
    <w:rsid w:val="00D34795"/>
    <w:rsid w:val="00D349E3"/>
    <w:rsid w:val="00D34ADF"/>
    <w:rsid w:val="00D350AF"/>
    <w:rsid w:val="00D35343"/>
    <w:rsid w:val="00D3659A"/>
    <w:rsid w:val="00D367E7"/>
    <w:rsid w:val="00D36920"/>
    <w:rsid w:val="00D36A44"/>
    <w:rsid w:val="00D36C07"/>
    <w:rsid w:val="00D36CA3"/>
    <w:rsid w:val="00D36F13"/>
    <w:rsid w:val="00D36F91"/>
    <w:rsid w:val="00D374A9"/>
    <w:rsid w:val="00D37BD5"/>
    <w:rsid w:val="00D409B9"/>
    <w:rsid w:val="00D40AAB"/>
    <w:rsid w:val="00D40C74"/>
    <w:rsid w:val="00D41515"/>
    <w:rsid w:val="00D41FB6"/>
    <w:rsid w:val="00D4203B"/>
    <w:rsid w:val="00D424E3"/>
    <w:rsid w:val="00D42517"/>
    <w:rsid w:val="00D427E1"/>
    <w:rsid w:val="00D42C85"/>
    <w:rsid w:val="00D42E58"/>
    <w:rsid w:val="00D43559"/>
    <w:rsid w:val="00D43B0E"/>
    <w:rsid w:val="00D43BF5"/>
    <w:rsid w:val="00D4401E"/>
    <w:rsid w:val="00D455E6"/>
    <w:rsid w:val="00D45B8F"/>
    <w:rsid w:val="00D45BE7"/>
    <w:rsid w:val="00D46233"/>
    <w:rsid w:val="00D46234"/>
    <w:rsid w:val="00D4632B"/>
    <w:rsid w:val="00D4655B"/>
    <w:rsid w:val="00D465D7"/>
    <w:rsid w:val="00D46747"/>
    <w:rsid w:val="00D46A15"/>
    <w:rsid w:val="00D46B19"/>
    <w:rsid w:val="00D4757A"/>
    <w:rsid w:val="00D479F3"/>
    <w:rsid w:val="00D47A03"/>
    <w:rsid w:val="00D47AEA"/>
    <w:rsid w:val="00D500D4"/>
    <w:rsid w:val="00D50705"/>
    <w:rsid w:val="00D50F58"/>
    <w:rsid w:val="00D512D3"/>
    <w:rsid w:val="00D51338"/>
    <w:rsid w:val="00D513F6"/>
    <w:rsid w:val="00D51FCF"/>
    <w:rsid w:val="00D521E3"/>
    <w:rsid w:val="00D525A2"/>
    <w:rsid w:val="00D526F6"/>
    <w:rsid w:val="00D52D72"/>
    <w:rsid w:val="00D53462"/>
    <w:rsid w:val="00D54DB4"/>
    <w:rsid w:val="00D54FF0"/>
    <w:rsid w:val="00D551D1"/>
    <w:rsid w:val="00D5540B"/>
    <w:rsid w:val="00D554FE"/>
    <w:rsid w:val="00D55A7A"/>
    <w:rsid w:val="00D5614D"/>
    <w:rsid w:val="00D5631F"/>
    <w:rsid w:val="00D56328"/>
    <w:rsid w:val="00D565E3"/>
    <w:rsid w:val="00D56D37"/>
    <w:rsid w:val="00D57B22"/>
    <w:rsid w:val="00D57B8E"/>
    <w:rsid w:val="00D57C91"/>
    <w:rsid w:val="00D6030E"/>
    <w:rsid w:val="00D6035C"/>
    <w:rsid w:val="00D603AC"/>
    <w:rsid w:val="00D60736"/>
    <w:rsid w:val="00D609BF"/>
    <w:rsid w:val="00D609E9"/>
    <w:rsid w:val="00D60CAF"/>
    <w:rsid w:val="00D60DE8"/>
    <w:rsid w:val="00D61186"/>
    <w:rsid w:val="00D62107"/>
    <w:rsid w:val="00D624A7"/>
    <w:rsid w:val="00D62567"/>
    <w:rsid w:val="00D62602"/>
    <w:rsid w:val="00D62CA5"/>
    <w:rsid w:val="00D62EEB"/>
    <w:rsid w:val="00D632F5"/>
    <w:rsid w:val="00D6378C"/>
    <w:rsid w:val="00D6405F"/>
    <w:rsid w:val="00D644BD"/>
    <w:rsid w:val="00D64D09"/>
    <w:rsid w:val="00D64D11"/>
    <w:rsid w:val="00D64D39"/>
    <w:rsid w:val="00D64FF3"/>
    <w:rsid w:val="00D65B63"/>
    <w:rsid w:val="00D65E8F"/>
    <w:rsid w:val="00D660A5"/>
    <w:rsid w:val="00D66C17"/>
    <w:rsid w:val="00D670CB"/>
    <w:rsid w:val="00D703A1"/>
    <w:rsid w:val="00D708D1"/>
    <w:rsid w:val="00D70A3E"/>
    <w:rsid w:val="00D70EDA"/>
    <w:rsid w:val="00D70F03"/>
    <w:rsid w:val="00D71245"/>
    <w:rsid w:val="00D71718"/>
    <w:rsid w:val="00D71ADD"/>
    <w:rsid w:val="00D72452"/>
    <w:rsid w:val="00D72E03"/>
    <w:rsid w:val="00D73031"/>
    <w:rsid w:val="00D73B79"/>
    <w:rsid w:val="00D73C64"/>
    <w:rsid w:val="00D73DFA"/>
    <w:rsid w:val="00D7456B"/>
    <w:rsid w:val="00D74D6A"/>
    <w:rsid w:val="00D74EE5"/>
    <w:rsid w:val="00D75154"/>
    <w:rsid w:val="00D754FB"/>
    <w:rsid w:val="00D75C0B"/>
    <w:rsid w:val="00D7636B"/>
    <w:rsid w:val="00D7684C"/>
    <w:rsid w:val="00D76B9F"/>
    <w:rsid w:val="00D77603"/>
    <w:rsid w:val="00D77A67"/>
    <w:rsid w:val="00D77CF9"/>
    <w:rsid w:val="00D800BE"/>
    <w:rsid w:val="00D800EF"/>
    <w:rsid w:val="00D80EAA"/>
    <w:rsid w:val="00D81290"/>
    <w:rsid w:val="00D8129F"/>
    <w:rsid w:val="00D81756"/>
    <w:rsid w:val="00D81B18"/>
    <w:rsid w:val="00D82601"/>
    <w:rsid w:val="00D82EDB"/>
    <w:rsid w:val="00D837B0"/>
    <w:rsid w:val="00D8387E"/>
    <w:rsid w:val="00D838F7"/>
    <w:rsid w:val="00D844B4"/>
    <w:rsid w:val="00D8470B"/>
    <w:rsid w:val="00D84757"/>
    <w:rsid w:val="00D84853"/>
    <w:rsid w:val="00D8486E"/>
    <w:rsid w:val="00D8487C"/>
    <w:rsid w:val="00D850EE"/>
    <w:rsid w:val="00D85B65"/>
    <w:rsid w:val="00D85E33"/>
    <w:rsid w:val="00D865E6"/>
    <w:rsid w:val="00D86B3D"/>
    <w:rsid w:val="00D875AA"/>
    <w:rsid w:val="00D87891"/>
    <w:rsid w:val="00D87AF5"/>
    <w:rsid w:val="00D905C0"/>
    <w:rsid w:val="00D90610"/>
    <w:rsid w:val="00D9065E"/>
    <w:rsid w:val="00D90A11"/>
    <w:rsid w:val="00D91382"/>
    <w:rsid w:val="00D91FD1"/>
    <w:rsid w:val="00D91FE4"/>
    <w:rsid w:val="00D931AE"/>
    <w:rsid w:val="00D93772"/>
    <w:rsid w:val="00D93856"/>
    <w:rsid w:val="00D93993"/>
    <w:rsid w:val="00D93AE9"/>
    <w:rsid w:val="00D93E1D"/>
    <w:rsid w:val="00D94110"/>
    <w:rsid w:val="00D94DB8"/>
    <w:rsid w:val="00D9598E"/>
    <w:rsid w:val="00D95B09"/>
    <w:rsid w:val="00D95BAA"/>
    <w:rsid w:val="00D96296"/>
    <w:rsid w:val="00D965A0"/>
    <w:rsid w:val="00D96C0F"/>
    <w:rsid w:val="00D97247"/>
    <w:rsid w:val="00D973FE"/>
    <w:rsid w:val="00D9744E"/>
    <w:rsid w:val="00D9749E"/>
    <w:rsid w:val="00D974A2"/>
    <w:rsid w:val="00D976FE"/>
    <w:rsid w:val="00D97940"/>
    <w:rsid w:val="00D97C1F"/>
    <w:rsid w:val="00D97DD9"/>
    <w:rsid w:val="00DA0A81"/>
    <w:rsid w:val="00DA0D44"/>
    <w:rsid w:val="00DA14EB"/>
    <w:rsid w:val="00DA20E3"/>
    <w:rsid w:val="00DA276D"/>
    <w:rsid w:val="00DA298E"/>
    <w:rsid w:val="00DA2A8E"/>
    <w:rsid w:val="00DA359B"/>
    <w:rsid w:val="00DA3867"/>
    <w:rsid w:val="00DA3AA7"/>
    <w:rsid w:val="00DA3CDF"/>
    <w:rsid w:val="00DA43DA"/>
    <w:rsid w:val="00DA4446"/>
    <w:rsid w:val="00DA4901"/>
    <w:rsid w:val="00DA49B3"/>
    <w:rsid w:val="00DA505B"/>
    <w:rsid w:val="00DA5809"/>
    <w:rsid w:val="00DA5A07"/>
    <w:rsid w:val="00DA5EA0"/>
    <w:rsid w:val="00DA5EED"/>
    <w:rsid w:val="00DA60C9"/>
    <w:rsid w:val="00DA673E"/>
    <w:rsid w:val="00DA694A"/>
    <w:rsid w:val="00DA69E6"/>
    <w:rsid w:val="00DA6C7C"/>
    <w:rsid w:val="00DA7299"/>
    <w:rsid w:val="00DA7376"/>
    <w:rsid w:val="00DA7869"/>
    <w:rsid w:val="00DA7B50"/>
    <w:rsid w:val="00DA7C2C"/>
    <w:rsid w:val="00DA7E80"/>
    <w:rsid w:val="00DB0443"/>
    <w:rsid w:val="00DB0766"/>
    <w:rsid w:val="00DB0EAE"/>
    <w:rsid w:val="00DB104F"/>
    <w:rsid w:val="00DB16D7"/>
    <w:rsid w:val="00DB1711"/>
    <w:rsid w:val="00DB18EB"/>
    <w:rsid w:val="00DB1FE8"/>
    <w:rsid w:val="00DB25A8"/>
    <w:rsid w:val="00DB2C98"/>
    <w:rsid w:val="00DB30AE"/>
    <w:rsid w:val="00DB3499"/>
    <w:rsid w:val="00DB3F99"/>
    <w:rsid w:val="00DB5B14"/>
    <w:rsid w:val="00DB5CFC"/>
    <w:rsid w:val="00DB5F5C"/>
    <w:rsid w:val="00DB678A"/>
    <w:rsid w:val="00DB6B03"/>
    <w:rsid w:val="00DB7128"/>
    <w:rsid w:val="00DB7443"/>
    <w:rsid w:val="00DC0267"/>
    <w:rsid w:val="00DC0656"/>
    <w:rsid w:val="00DC0ADC"/>
    <w:rsid w:val="00DC0B10"/>
    <w:rsid w:val="00DC0F38"/>
    <w:rsid w:val="00DC1D92"/>
    <w:rsid w:val="00DC1EFC"/>
    <w:rsid w:val="00DC246C"/>
    <w:rsid w:val="00DC309F"/>
    <w:rsid w:val="00DC32F0"/>
    <w:rsid w:val="00DC366A"/>
    <w:rsid w:val="00DC368F"/>
    <w:rsid w:val="00DC436C"/>
    <w:rsid w:val="00DC4F15"/>
    <w:rsid w:val="00DC5000"/>
    <w:rsid w:val="00DC5087"/>
    <w:rsid w:val="00DC52C8"/>
    <w:rsid w:val="00DC5614"/>
    <w:rsid w:val="00DC5EDD"/>
    <w:rsid w:val="00DC641D"/>
    <w:rsid w:val="00DC6D8D"/>
    <w:rsid w:val="00DC79F5"/>
    <w:rsid w:val="00DD0968"/>
    <w:rsid w:val="00DD0C4B"/>
    <w:rsid w:val="00DD1338"/>
    <w:rsid w:val="00DD2009"/>
    <w:rsid w:val="00DD24E5"/>
    <w:rsid w:val="00DD26CD"/>
    <w:rsid w:val="00DD2B0D"/>
    <w:rsid w:val="00DD2E5B"/>
    <w:rsid w:val="00DD3190"/>
    <w:rsid w:val="00DD330D"/>
    <w:rsid w:val="00DD359A"/>
    <w:rsid w:val="00DD3830"/>
    <w:rsid w:val="00DD3BBC"/>
    <w:rsid w:val="00DD40CE"/>
    <w:rsid w:val="00DD56B0"/>
    <w:rsid w:val="00DD58E3"/>
    <w:rsid w:val="00DD5DDB"/>
    <w:rsid w:val="00DD66DF"/>
    <w:rsid w:val="00DD6CA2"/>
    <w:rsid w:val="00DD7379"/>
    <w:rsid w:val="00DD7A4C"/>
    <w:rsid w:val="00DD7E40"/>
    <w:rsid w:val="00DE0200"/>
    <w:rsid w:val="00DE0302"/>
    <w:rsid w:val="00DE0655"/>
    <w:rsid w:val="00DE1048"/>
    <w:rsid w:val="00DE17C4"/>
    <w:rsid w:val="00DE1ED6"/>
    <w:rsid w:val="00DE2175"/>
    <w:rsid w:val="00DE217F"/>
    <w:rsid w:val="00DE21AD"/>
    <w:rsid w:val="00DE2584"/>
    <w:rsid w:val="00DE2938"/>
    <w:rsid w:val="00DE4749"/>
    <w:rsid w:val="00DE4F40"/>
    <w:rsid w:val="00DE53C4"/>
    <w:rsid w:val="00DE5B71"/>
    <w:rsid w:val="00DE5B7F"/>
    <w:rsid w:val="00DE5C23"/>
    <w:rsid w:val="00DE5C60"/>
    <w:rsid w:val="00DE5E30"/>
    <w:rsid w:val="00DE5F97"/>
    <w:rsid w:val="00DE64E8"/>
    <w:rsid w:val="00DF0777"/>
    <w:rsid w:val="00DF0791"/>
    <w:rsid w:val="00DF0DA1"/>
    <w:rsid w:val="00DF1274"/>
    <w:rsid w:val="00DF13A8"/>
    <w:rsid w:val="00DF17CC"/>
    <w:rsid w:val="00DF24ED"/>
    <w:rsid w:val="00DF277A"/>
    <w:rsid w:val="00DF32C1"/>
    <w:rsid w:val="00DF3349"/>
    <w:rsid w:val="00DF356E"/>
    <w:rsid w:val="00DF36D4"/>
    <w:rsid w:val="00DF3744"/>
    <w:rsid w:val="00DF3E56"/>
    <w:rsid w:val="00DF3EEE"/>
    <w:rsid w:val="00DF401A"/>
    <w:rsid w:val="00DF43F0"/>
    <w:rsid w:val="00DF454D"/>
    <w:rsid w:val="00DF45A9"/>
    <w:rsid w:val="00DF4C9B"/>
    <w:rsid w:val="00DF57D8"/>
    <w:rsid w:val="00DF6301"/>
    <w:rsid w:val="00DF6D0A"/>
    <w:rsid w:val="00DF6E7D"/>
    <w:rsid w:val="00DF7144"/>
    <w:rsid w:val="00DF738E"/>
    <w:rsid w:val="00DF78EB"/>
    <w:rsid w:val="00E0014C"/>
    <w:rsid w:val="00E002AF"/>
    <w:rsid w:val="00E007B4"/>
    <w:rsid w:val="00E00A9C"/>
    <w:rsid w:val="00E014D9"/>
    <w:rsid w:val="00E01F6F"/>
    <w:rsid w:val="00E0229D"/>
    <w:rsid w:val="00E025F3"/>
    <w:rsid w:val="00E02624"/>
    <w:rsid w:val="00E02731"/>
    <w:rsid w:val="00E02A05"/>
    <w:rsid w:val="00E02C0D"/>
    <w:rsid w:val="00E02CDB"/>
    <w:rsid w:val="00E03A11"/>
    <w:rsid w:val="00E03F30"/>
    <w:rsid w:val="00E04238"/>
    <w:rsid w:val="00E0424D"/>
    <w:rsid w:val="00E043C4"/>
    <w:rsid w:val="00E04CE3"/>
    <w:rsid w:val="00E0526D"/>
    <w:rsid w:val="00E0554A"/>
    <w:rsid w:val="00E05A58"/>
    <w:rsid w:val="00E05A8C"/>
    <w:rsid w:val="00E061E4"/>
    <w:rsid w:val="00E0652F"/>
    <w:rsid w:val="00E06979"/>
    <w:rsid w:val="00E06DE2"/>
    <w:rsid w:val="00E074F2"/>
    <w:rsid w:val="00E10108"/>
    <w:rsid w:val="00E1039E"/>
    <w:rsid w:val="00E10415"/>
    <w:rsid w:val="00E1044E"/>
    <w:rsid w:val="00E10859"/>
    <w:rsid w:val="00E11EFC"/>
    <w:rsid w:val="00E120D0"/>
    <w:rsid w:val="00E129BD"/>
    <w:rsid w:val="00E12F83"/>
    <w:rsid w:val="00E1349A"/>
    <w:rsid w:val="00E1357D"/>
    <w:rsid w:val="00E135FC"/>
    <w:rsid w:val="00E13FCD"/>
    <w:rsid w:val="00E145CB"/>
    <w:rsid w:val="00E14A83"/>
    <w:rsid w:val="00E151C5"/>
    <w:rsid w:val="00E153BD"/>
    <w:rsid w:val="00E15707"/>
    <w:rsid w:val="00E157AD"/>
    <w:rsid w:val="00E1589B"/>
    <w:rsid w:val="00E1616C"/>
    <w:rsid w:val="00E16213"/>
    <w:rsid w:val="00E16451"/>
    <w:rsid w:val="00E16A07"/>
    <w:rsid w:val="00E17897"/>
    <w:rsid w:val="00E20586"/>
    <w:rsid w:val="00E207AD"/>
    <w:rsid w:val="00E212FC"/>
    <w:rsid w:val="00E2158D"/>
    <w:rsid w:val="00E21AE2"/>
    <w:rsid w:val="00E21C68"/>
    <w:rsid w:val="00E2261E"/>
    <w:rsid w:val="00E22B4B"/>
    <w:rsid w:val="00E23216"/>
    <w:rsid w:val="00E2356F"/>
    <w:rsid w:val="00E236AE"/>
    <w:rsid w:val="00E2384B"/>
    <w:rsid w:val="00E2394D"/>
    <w:rsid w:val="00E23B64"/>
    <w:rsid w:val="00E24174"/>
    <w:rsid w:val="00E24296"/>
    <w:rsid w:val="00E24410"/>
    <w:rsid w:val="00E246D1"/>
    <w:rsid w:val="00E25584"/>
    <w:rsid w:val="00E257D8"/>
    <w:rsid w:val="00E261C8"/>
    <w:rsid w:val="00E26AE4"/>
    <w:rsid w:val="00E26C88"/>
    <w:rsid w:val="00E27437"/>
    <w:rsid w:val="00E2749A"/>
    <w:rsid w:val="00E275A0"/>
    <w:rsid w:val="00E27E20"/>
    <w:rsid w:val="00E300DE"/>
    <w:rsid w:val="00E30129"/>
    <w:rsid w:val="00E3027C"/>
    <w:rsid w:val="00E30322"/>
    <w:rsid w:val="00E30575"/>
    <w:rsid w:val="00E307B3"/>
    <w:rsid w:val="00E30EA0"/>
    <w:rsid w:val="00E30F53"/>
    <w:rsid w:val="00E312A9"/>
    <w:rsid w:val="00E314FD"/>
    <w:rsid w:val="00E315A3"/>
    <w:rsid w:val="00E3171F"/>
    <w:rsid w:val="00E31BDA"/>
    <w:rsid w:val="00E32023"/>
    <w:rsid w:val="00E32185"/>
    <w:rsid w:val="00E321BF"/>
    <w:rsid w:val="00E32593"/>
    <w:rsid w:val="00E3265F"/>
    <w:rsid w:val="00E32B04"/>
    <w:rsid w:val="00E32CEC"/>
    <w:rsid w:val="00E32E20"/>
    <w:rsid w:val="00E33EA4"/>
    <w:rsid w:val="00E34159"/>
    <w:rsid w:val="00E34388"/>
    <w:rsid w:val="00E362D5"/>
    <w:rsid w:val="00E36402"/>
    <w:rsid w:val="00E36B2A"/>
    <w:rsid w:val="00E3734D"/>
    <w:rsid w:val="00E373A7"/>
    <w:rsid w:val="00E37A22"/>
    <w:rsid w:val="00E400BA"/>
    <w:rsid w:val="00E4102B"/>
    <w:rsid w:val="00E4118E"/>
    <w:rsid w:val="00E413C9"/>
    <w:rsid w:val="00E418FC"/>
    <w:rsid w:val="00E41FB6"/>
    <w:rsid w:val="00E42B87"/>
    <w:rsid w:val="00E4307F"/>
    <w:rsid w:val="00E433F3"/>
    <w:rsid w:val="00E434C5"/>
    <w:rsid w:val="00E4350A"/>
    <w:rsid w:val="00E4363F"/>
    <w:rsid w:val="00E43BBA"/>
    <w:rsid w:val="00E446F1"/>
    <w:rsid w:val="00E448A3"/>
    <w:rsid w:val="00E44C1A"/>
    <w:rsid w:val="00E44D8A"/>
    <w:rsid w:val="00E44DB5"/>
    <w:rsid w:val="00E44EA9"/>
    <w:rsid w:val="00E44FFA"/>
    <w:rsid w:val="00E452FC"/>
    <w:rsid w:val="00E453F2"/>
    <w:rsid w:val="00E4554C"/>
    <w:rsid w:val="00E45885"/>
    <w:rsid w:val="00E45FD3"/>
    <w:rsid w:val="00E4658E"/>
    <w:rsid w:val="00E46678"/>
    <w:rsid w:val="00E4708F"/>
    <w:rsid w:val="00E47153"/>
    <w:rsid w:val="00E4755A"/>
    <w:rsid w:val="00E477C3"/>
    <w:rsid w:val="00E50F66"/>
    <w:rsid w:val="00E50FCF"/>
    <w:rsid w:val="00E51044"/>
    <w:rsid w:val="00E51DE3"/>
    <w:rsid w:val="00E521BF"/>
    <w:rsid w:val="00E526A4"/>
    <w:rsid w:val="00E52F4B"/>
    <w:rsid w:val="00E52F5D"/>
    <w:rsid w:val="00E52FCC"/>
    <w:rsid w:val="00E5379C"/>
    <w:rsid w:val="00E53DEF"/>
    <w:rsid w:val="00E546DC"/>
    <w:rsid w:val="00E547B3"/>
    <w:rsid w:val="00E54872"/>
    <w:rsid w:val="00E54E1D"/>
    <w:rsid w:val="00E54F72"/>
    <w:rsid w:val="00E553BA"/>
    <w:rsid w:val="00E558CE"/>
    <w:rsid w:val="00E565B2"/>
    <w:rsid w:val="00E5686D"/>
    <w:rsid w:val="00E56A7A"/>
    <w:rsid w:val="00E572FB"/>
    <w:rsid w:val="00E57407"/>
    <w:rsid w:val="00E574B8"/>
    <w:rsid w:val="00E5787D"/>
    <w:rsid w:val="00E6136A"/>
    <w:rsid w:val="00E61BBD"/>
    <w:rsid w:val="00E623D6"/>
    <w:rsid w:val="00E627B2"/>
    <w:rsid w:val="00E635C8"/>
    <w:rsid w:val="00E63B58"/>
    <w:rsid w:val="00E6438D"/>
    <w:rsid w:val="00E644E1"/>
    <w:rsid w:val="00E645EC"/>
    <w:rsid w:val="00E64BFE"/>
    <w:rsid w:val="00E64C05"/>
    <w:rsid w:val="00E64DD8"/>
    <w:rsid w:val="00E65E57"/>
    <w:rsid w:val="00E65F8C"/>
    <w:rsid w:val="00E66114"/>
    <w:rsid w:val="00E662A5"/>
    <w:rsid w:val="00E6643F"/>
    <w:rsid w:val="00E665DC"/>
    <w:rsid w:val="00E67017"/>
    <w:rsid w:val="00E6754E"/>
    <w:rsid w:val="00E67B3F"/>
    <w:rsid w:val="00E67B90"/>
    <w:rsid w:val="00E67D51"/>
    <w:rsid w:val="00E700E3"/>
    <w:rsid w:val="00E71185"/>
    <w:rsid w:val="00E71ABE"/>
    <w:rsid w:val="00E71CD6"/>
    <w:rsid w:val="00E71E4E"/>
    <w:rsid w:val="00E72331"/>
    <w:rsid w:val="00E72384"/>
    <w:rsid w:val="00E7288D"/>
    <w:rsid w:val="00E73028"/>
    <w:rsid w:val="00E73770"/>
    <w:rsid w:val="00E74A2B"/>
    <w:rsid w:val="00E74CF0"/>
    <w:rsid w:val="00E74FA8"/>
    <w:rsid w:val="00E75C32"/>
    <w:rsid w:val="00E76166"/>
    <w:rsid w:val="00E7633A"/>
    <w:rsid w:val="00E7691D"/>
    <w:rsid w:val="00E76AFC"/>
    <w:rsid w:val="00E76D4B"/>
    <w:rsid w:val="00E77107"/>
    <w:rsid w:val="00E772CA"/>
    <w:rsid w:val="00E772E0"/>
    <w:rsid w:val="00E77433"/>
    <w:rsid w:val="00E77460"/>
    <w:rsid w:val="00E80004"/>
    <w:rsid w:val="00E8007C"/>
    <w:rsid w:val="00E8072D"/>
    <w:rsid w:val="00E809A7"/>
    <w:rsid w:val="00E812F3"/>
    <w:rsid w:val="00E81F4F"/>
    <w:rsid w:val="00E820A7"/>
    <w:rsid w:val="00E820E1"/>
    <w:rsid w:val="00E8274C"/>
    <w:rsid w:val="00E82878"/>
    <w:rsid w:val="00E82A4F"/>
    <w:rsid w:val="00E831EB"/>
    <w:rsid w:val="00E83261"/>
    <w:rsid w:val="00E832AB"/>
    <w:rsid w:val="00E83551"/>
    <w:rsid w:val="00E836CE"/>
    <w:rsid w:val="00E8386B"/>
    <w:rsid w:val="00E839E9"/>
    <w:rsid w:val="00E83A68"/>
    <w:rsid w:val="00E83B95"/>
    <w:rsid w:val="00E84F9B"/>
    <w:rsid w:val="00E85E6F"/>
    <w:rsid w:val="00E861E7"/>
    <w:rsid w:val="00E86774"/>
    <w:rsid w:val="00E867AE"/>
    <w:rsid w:val="00E8692F"/>
    <w:rsid w:val="00E86DAE"/>
    <w:rsid w:val="00E86DED"/>
    <w:rsid w:val="00E87408"/>
    <w:rsid w:val="00E904E4"/>
    <w:rsid w:val="00E91D44"/>
    <w:rsid w:val="00E91FF5"/>
    <w:rsid w:val="00E92532"/>
    <w:rsid w:val="00E927DA"/>
    <w:rsid w:val="00E92D06"/>
    <w:rsid w:val="00E9340D"/>
    <w:rsid w:val="00E93817"/>
    <w:rsid w:val="00E93B21"/>
    <w:rsid w:val="00E93C17"/>
    <w:rsid w:val="00E93E54"/>
    <w:rsid w:val="00E9401C"/>
    <w:rsid w:val="00E9472C"/>
    <w:rsid w:val="00E94BAF"/>
    <w:rsid w:val="00E94EC0"/>
    <w:rsid w:val="00E94FC9"/>
    <w:rsid w:val="00E95055"/>
    <w:rsid w:val="00E956B0"/>
    <w:rsid w:val="00E9591B"/>
    <w:rsid w:val="00E95CA4"/>
    <w:rsid w:val="00E95DAB"/>
    <w:rsid w:val="00E96976"/>
    <w:rsid w:val="00E97B59"/>
    <w:rsid w:val="00E97DE3"/>
    <w:rsid w:val="00EA00DC"/>
    <w:rsid w:val="00EA025C"/>
    <w:rsid w:val="00EA09A7"/>
    <w:rsid w:val="00EA17A0"/>
    <w:rsid w:val="00EA1E1A"/>
    <w:rsid w:val="00EA23DB"/>
    <w:rsid w:val="00EA287C"/>
    <w:rsid w:val="00EA332E"/>
    <w:rsid w:val="00EA34EE"/>
    <w:rsid w:val="00EA36F9"/>
    <w:rsid w:val="00EA3CF9"/>
    <w:rsid w:val="00EA3EA6"/>
    <w:rsid w:val="00EA5DCE"/>
    <w:rsid w:val="00EA5E20"/>
    <w:rsid w:val="00EA6154"/>
    <w:rsid w:val="00EA6A52"/>
    <w:rsid w:val="00EA6DB2"/>
    <w:rsid w:val="00EA7173"/>
    <w:rsid w:val="00EA752C"/>
    <w:rsid w:val="00EA770A"/>
    <w:rsid w:val="00EA7C0C"/>
    <w:rsid w:val="00EA7F4D"/>
    <w:rsid w:val="00EA7F62"/>
    <w:rsid w:val="00EB02FF"/>
    <w:rsid w:val="00EB0C34"/>
    <w:rsid w:val="00EB12E2"/>
    <w:rsid w:val="00EB1E2C"/>
    <w:rsid w:val="00EB23A4"/>
    <w:rsid w:val="00EB274A"/>
    <w:rsid w:val="00EB2779"/>
    <w:rsid w:val="00EB29B1"/>
    <w:rsid w:val="00EB2F7D"/>
    <w:rsid w:val="00EB3266"/>
    <w:rsid w:val="00EB360D"/>
    <w:rsid w:val="00EB367E"/>
    <w:rsid w:val="00EB36E9"/>
    <w:rsid w:val="00EB3A03"/>
    <w:rsid w:val="00EB449E"/>
    <w:rsid w:val="00EB4AEE"/>
    <w:rsid w:val="00EB4C52"/>
    <w:rsid w:val="00EB50D3"/>
    <w:rsid w:val="00EB5F5C"/>
    <w:rsid w:val="00EB6BD9"/>
    <w:rsid w:val="00EB6C50"/>
    <w:rsid w:val="00EB6C84"/>
    <w:rsid w:val="00EB6F16"/>
    <w:rsid w:val="00EB7291"/>
    <w:rsid w:val="00EB748B"/>
    <w:rsid w:val="00EB76CA"/>
    <w:rsid w:val="00EC017D"/>
    <w:rsid w:val="00EC0273"/>
    <w:rsid w:val="00EC032C"/>
    <w:rsid w:val="00EC069E"/>
    <w:rsid w:val="00EC0CDD"/>
    <w:rsid w:val="00EC10DB"/>
    <w:rsid w:val="00EC14C3"/>
    <w:rsid w:val="00EC1794"/>
    <w:rsid w:val="00EC1A6F"/>
    <w:rsid w:val="00EC1C43"/>
    <w:rsid w:val="00EC2103"/>
    <w:rsid w:val="00EC22C5"/>
    <w:rsid w:val="00EC2BDC"/>
    <w:rsid w:val="00EC2D20"/>
    <w:rsid w:val="00EC359C"/>
    <w:rsid w:val="00EC4AC2"/>
    <w:rsid w:val="00EC5126"/>
    <w:rsid w:val="00EC55DA"/>
    <w:rsid w:val="00EC6434"/>
    <w:rsid w:val="00EC6EA4"/>
    <w:rsid w:val="00EC7085"/>
    <w:rsid w:val="00EC7DB7"/>
    <w:rsid w:val="00ED03AD"/>
    <w:rsid w:val="00ED053D"/>
    <w:rsid w:val="00ED06EF"/>
    <w:rsid w:val="00ED0A9F"/>
    <w:rsid w:val="00ED0F76"/>
    <w:rsid w:val="00ED1A35"/>
    <w:rsid w:val="00ED233F"/>
    <w:rsid w:val="00ED2493"/>
    <w:rsid w:val="00ED28A1"/>
    <w:rsid w:val="00ED2FE4"/>
    <w:rsid w:val="00ED3C19"/>
    <w:rsid w:val="00ED3C53"/>
    <w:rsid w:val="00ED40BD"/>
    <w:rsid w:val="00ED4525"/>
    <w:rsid w:val="00ED4970"/>
    <w:rsid w:val="00ED50E1"/>
    <w:rsid w:val="00ED578A"/>
    <w:rsid w:val="00ED5C10"/>
    <w:rsid w:val="00ED5ECD"/>
    <w:rsid w:val="00ED604F"/>
    <w:rsid w:val="00ED63A7"/>
    <w:rsid w:val="00ED6440"/>
    <w:rsid w:val="00ED6517"/>
    <w:rsid w:val="00ED6B46"/>
    <w:rsid w:val="00ED71F7"/>
    <w:rsid w:val="00ED73CE"/>
    <w:rsid w:val="00ED7C82"/>
    <w:rsid w:val="00EE007C"/>
    <w:rsid w:val="00EE02E5"/>
    <w:rsid w:val="00EE0914"/>
    <w:rsid w:val="00EE0B55"/>
    <w:rsid w:val="00EE0BEE"/>
    <w:rsid w:val="00EE0EF6"/>
    <w:rsid w:val="00EE1063"/>
    <w:rsid w:val="00EE11A9"/>
    <w:rsid w:val="00EE147B"/>
    <w:rsid w:val="00EE1A26"/>
    <w:rsid w:val="00EE3488"/>
    <w:rsid w:val="00EE38CE"/>
    <w:rsid w:val="00EE4267"/>
    <w:rsid w:val="00EE4515"/>
    <w:rsid w:val="00EE4ACC"/>
    <w:rsid w:val="00EE503C"/>
    <w:rsid w:val="00EE604B"/>
    <w:rsid w:val="00EE6373"/>
    <w:rsid w:val="00EE7756"/>
    <w:rsid w:val="00EE790B"/>
    <w:rsid w:val="00EF07DA"/>
    <w:rsid w:val="00EF0A90"/>
    <w:rsid w:val="00EF1248"/>
    <w:rsid w:val="00EF1702"/>
    <w:rsid w:val="00EF17EB"/>
    <w:rsid w:val="00EF2696"/>
    <w:rsid w:val="00EF2CEA"/>
    <w:rsid w:val="00EF3526"/>
    <w:rsid w:val="00EF369C"/>
    <w:rsid w:val="00EF3B2D"/>
    <w:rsid w:val="00EF4009"/>
    <w:rsid w:val="00EF40A9"/>
    <w:rsid w:val="00EF4765"/>
    <w:rsid w:val="00EF4FFF"/>
    <w:rsid w:val="00EF5111"/>
    <w:rsid w:val="00EF580B"/>
    <w:rsid w:val="00EF5C9E"/>
    <w:rsid w:val="00EF6338"/>
    <w:rsid w:val="00EF68D4"/>
    <w:rsid w:val="00EF724F"/>
    <w:rsid w:val="00EF7338"/>
    <w:rsid w:val="00EF7501"/>
    <w:rsid w:val="00EF7C9B"/>
    <w:rsid w:val="00EF7E32"/>
    <w:rsid w:val="00EF7EBA"/>
    <w:rsid w:val="00F00056"/>
    <w:rsid w:val="00F00064"/>
    <w:rsid w:val="00F002B9"/>
    <w:rsid w:val="00F00362"/>
    <w:rsid w:val="00F006A4"/>
    <w:rsid w:val="00F0078D"/>
    <w:rsid w:val="00F008CB"/>
    <w:rsid w:val="00F01003"/>
    <w:rsid w:val="00F01FBE"/>
    <w:rsid w:val="00F0289E"/>
    <w:rsid w:val="00F02B40"/>
    <w:rsid w:val="00F02D17"/>
    <w:rsid w:val="00F0310A"/>
    <w:rsid w:val="00F031E7"/>
    <w:rsid w:val="00F03EDC"/>
    <w:rsid w:val="00F042E0"/>
    <w:rsid w:val="00F0449C"/>
    <w:rsid w:val="00F0464A"/>
    <w:rsid w:val="00F050EC"/>
    <w:rsid w:val="00F05B09"/>
    <w:rsid w:val="00F05F4E"/>
    <w:rsid w:val="00F05F76"/>
    <w:rsid w:val="00F05FDA"/>
    <w:rsid w:val="00F06512"/>
    <w:rsid w:val="00F067E7"/>
    <w:rsid w:val="00F06C77"/>
    <w:rsid w:val="00F071EB"/>
    <w:rsid w:val="00F07402"/>
    <w:rsid w:val="00F07843"/>
    <w:rsid w:val="00F07EE7"/>
    <w:rsid w:val="00F100A4"/>
    <w:rsid w:val="00F101F1"/>
    <w:rsid w:val="00F10791"/>
    <w:rsid w:val="00F11045"/>
    <w:rsid w:val="00F11116"/>
    <w:rsid w:val="00F1120E"/>
    <w:rsid w:val="00F11FEC"/>
    <w:rsid w:val="00F126E5"/>
    <w:rsid w:val="00F12922"/>
    <w:rsid w:val="00F12B98"/>
    <w:rsid w:val="00F13246"/>
    <w:rsid w:val="00F1326D"/>
    <w:rsid w:val="00F13E94"/>
    <w:rsid w:val="00F147EF"/>
    <w:rsid w:val="00F14F64"/>
    <w:rsid w:val="00F151E6"/>
    <w:rsid w:val="00F152CF"/>
    <w:rsid w:val="00F157D1"/>
    <w:rsid w:val="00F15E27"/>
    <w:rsid w:val="00F16E84"/>
    <w:rsid w:val="00F17642"/>
    <w:rsid w:val="00F1798F"/>
    <w:rsid w:val="00F17ABC"/>
    <w:rsid w:val="00F20261"/>
    <w:rsid w:val="00F213F2"/>
    <w:rsid w:val="00F226D8"/>
    <w:rsid w:val="00F22780"/>
    <w:rsid w:val="00F22818"/>
    <w:rsid w:val="00F23277"/>
    <w:rsid w:val="00F23401"/>
    <w:rsid w:val="00F23DB8"/>
    <w:rsid w:val="00F24BC0"/>
    <w:rsid w:val="00F25369"/>
    <w:rsid w:val="00F25378"/>
    <w:rsid w:val="00F25D2E"/>
    <w:rsid w:val="00F26930"/>
    <w:rsid w:val="00F27499"/>
    <w:rsid w:val="00F2761C"/>
    <w:rsid w:val="00F2765A"/>
    <w:rsid w:val="00F306C0"/>
    <w:rsid w:val="00F311AC"/>
    <w:rsid w:val="00F31B21"/>
    <w:rsid w:val="00F31F80"/>
    <w:rsid w:val="00F31FF0"/>
    <w:rsid w:val="00F320B0"/>
    <w:rsid w:val="00F32302"/>
    <w:rsid w:val="00F3273F"/>
    <w:rsid w:val="00F329E0"/>
    <w:rsid w:val="00F32DE6"/>
    <w:rsid w:val="00F331BF"/>
    <w:rsid w:val="00F3362F"/>
    <w:rsid w:val="00F33818"/>
    <w:rsid w:val="00F33E28"/>
    <w:rsid w:val="00F33E3F"/>
    <w:rsid w:val="00F34134"/>
    <w:rsid w:val="00F34377"/>
    <w:rsid w:val="00F34588"/>
    <w:rsid w:val="00F346DB"/>
    <w:rsid w:val="00F349B5"/>
    <w:rsid w:val="00F3507B"/>
    <w:rsid w:val="00F354E0"/>
    <w:rsid w:val="00F355B2"/>
    <w:rsid w:val="00F3569B"/>
    <w:rsid w:val="00F357ED"/>
    <w:rsid w:val="00F36C5B"/>
    <w:rsid w:val="00F37139"/>
    <w:rsid w:val="00F37193"/>
    <w:rsid w:val="00F37C9A"/>
    <w:rsid w:val="00F37CE6"/>
    <w:rsid w:val="00F400B7"/>
    <w:rsid w:val="00F41946"/>
    <w:rsid w:val="00F42024"/>
    <w:rsid w:val="00F42109"/>
    <w:rsid w:val="00F426D7"/>
    <w:rsid w:val="00F42BB3"/>
    <w:rsid w:val="00F43637"/>
    <w:rsid w:val="00F43C60"/>
    <w:rsid w:val="00F43C85"/>
    <w:rsid w:val="00F443C6"/>
    <w:rsid w:val="00F446C7"/>
    <w:rsid w:val="00F449D6"/>
    <w:rsid w:val="00F45185"/>
    <w:rsid w:val="00F4557A"/>
    <w:rsid w:val="00F458B1"/>
    <w:rsid w:val="00F45936"/>
    <w:rsid w:val="00F45ED9"/>
    <w:rsid w:val="00F45EF7"/>
    <w:rsid w:val="00F461BD"/>
    <w:rsid w:val="00F467D4"/>
    <w:rsid w:val="00F46B16"/>
    <w:rsid w:val="00F46E7B"/>
    <w:rsid w:val="00F46E94"/>
    <w:rsid w:val="00F46F53"/>
    <w:rsid w:val="00F4746E"/>
    <w:rsid w:val="00F479B0"/>
    <w:rsid w:val="00F50A5B"/>
    <w:rsid w:val="00F50BCC"/>
    <w:rsid w:val="00F51634"/>
    <w:rsid w:val="00F5254B"/>
    <w:rsid w:val="00F52730"/>
    <w:rsid w:val="00F52851"/>
    <w:rsid w:val="00F5287A"/>
    <w:rsid w:val="00F529C6"/>
    <w:rsid w:val="00F52F54"/>
    <w:rsid w:val="00F5326F"/>
    <w:rsid w:val="00F53FD1"/>
    <w:rsid w:val="00F54015"/>
    <w:rsid w:val="00F54631"/>
    <w:rsid w:val="00F54AE8"/>
    <w:rsid w:val="00F54D24"/>
    <w:rsid w:val="00F54E07"/>
    <w:rsid w:val="00F54E38"/>
    <w:rsid w:val="00F54E9E"/>
    <w:rsid w:val="00F5529B"/>
    <w:rsid w:val="00F554D5"/>
    <w:rsid w:val="00F557FD"/>
    <w:rsid w:val="00F55B2E"/>
    <w:rsid w:val="00F56DDD"/>
    <w:rsid w:val="00F56F6C"/>
    <w:rsid w:val="00F5732E"/>
    <w:rsid w:val="00F57462"/>
    <w:rsid w:val="00F579F1"/>
    <w:rsid w:val="00F60EC7"/>
    <w:rsid w:val="00F6149D"/>
    <w:rsid w:val="00F622C9"/>
    <w:rsid w:val="00F628C1"/>
    <w:rsid w:val="00F62CC0"/>
    <w:rsid w:val="00F62E7A"/>
    <w:rsid w:val="00F633B5"/>
    <w:rsid w:val="00F6357E"/>
    <w:rsid w:val="00F6362B"/>
    <w:rsid w:val="00F63DBF"/>
    <w:rsid w:val="00F641A2"/>
    <w:rsid w:val="00F64AFF"/>
    <w:rsid w:val="00F64DC5"/>
    <w:rsid w:val="00F6529F"/>
    <w:rsid w:val="00F652EB"/>
    <w:rsid w:val="00F668D1"/>
    <w:rsid w:val="00F66DCA"/>
    <w:rsid w:val="00F6744F"/>
    <w:rsid w:val="00F7158A"/>
    <w:rsid w:val="00F7190A"/>
    <w:rsid w:val="00F719B3"/>
    <w:rsid w:val="00F72400"/>
    <w:rsid w:val="00F727D2"/>
    <w:rsid w:val="00F72A44"/>
    <w:rsid w:val="00F72AC4"/>
    <w:rsid w:val="00F72CFC"/>
    <w:rsid w:val="00F735C6"/>
    <w:rsid w:val="00F74AC8"/>
    <w:rsid w:val="00F74DDD"/>
    <w:rsid w:val="00F7545E"/>
    <w:rsid w:val="00F755D8"/>
    <w:rsid w:val="00F75CA0"/>
    <w:rsid w:val="00F770F4"/>
    <w:rsid w:val="00F77E96"/>
    <w:rsid w:val="00F77EE1"/>
    <w:rsid w:val="00F77F71"/>
    <w:rsid w:val="00F77FD5"/>
    <w:rsid w:val="00F8004D"/>
    <w:rsid w:val="00F8031E"/>
    <w:rsid w:val="00F80665"/>
    <w:rsid w:val="00F80911"/>
    <w:rsid w:val="00F80F4B"/>
    <w:rsid w:val="00F81264"/>
    <w:rsid w:val="00F8160A"/>
    <w:rsid w:val="00F81782"/>
    <w:rsid w:val="00F81828"/>
    <w:rsid w:val="00F8223B"/>
    <w:rsid w:val="00F82962"/>
    <w:rsid w:val="00F829C2"/>
    <w:rsid w:val="00F82F7B"/>
    <w:rsid w:val="00F839AE"/>
    <w:rsid w:val="00F83CED"/>
    <w:rsid w:val="00F84028"/>
    <w:rsid w:val="00F840E7"/>
    <w:rsid w:val="00F84256"/>
    <w:rsid w:val="00F84D55"/>
    <w:rsid w:val="00F84D64"/>
    <w:rsid w:val="00F84EB0"/>
    <w:rsid w:val="00F85880"/>
    <w:rsid w:val="00F862BF"/>
    <w:rsid w:val="00F8657E"/>
    <w:rsid w:val="00F875EA"/>
    <w:rsid w:val="00F87CC7"/>
    <w:rsid w:val="00F90BD4"/>
    <w:rsid w:val="00F90C37"/>
    <w:rsid w:val="00F91644"/>
    <w:rsid w:val="00F91DD5"/>
    <w:rsid w:val="00F9345C"/>
    <w:rsid w:val="00F935A0"/>
    <w:rsid w:val="00F939D0"/>
    <w:rsid w:val="00F93E73"/>
    <w:rsid w:val="00F9455B"/>
    <w:rsid w:val="00F948E7"/>
    <w:rsid w:val="00F948EB"/>
    <w:rsid w:val="00F94A99"/>
    <w:rsid w:val="00F94CA5"/>
    <w:rsid w:val="00F953B8"/>
    <w:rsid w:val="00F954B5"/>
    <w:rsid w:val="00F954D5"/>
    <w:rsid w:val="00F95697"/>
    <w:rsid w:val="00F95B8E"/>
    <w:rsid w:val="00F96457"/>
    <w:rsid w:val="00F96706"/>
    <w:rsid w:val="00F96E61"/>
    <w:rsid w:val="00F970B2"/>
    <w:rsid w:val="00F97A28"/>
    <w:rsid w:val="00F97DBE"/>
    <w:rsid w:val="00F97E16"/>
    <w:rsid w:val="00FA0295"/>
    <w:rsid w:val="00FA04D6"/>
    <w:rsid w:val="00FA06E2"/>
    <w:rsid w:val="00FA1671"/>
    <w:rsid w:val="00FA19F6"/>
    <w:rsid w:val="00FA2008"/>
    <w:rsid w:val="00FA2724"/>
    <w:rsid w:val="00FA29F8"/>
    <w:rsid w:val="00FA2C59"/>
    <w:rsid w:val="00FA2E38"/>
    <w:rsid w:val="00FA2F53"/>
    <w:rsid w:val="00FA2FCC"/>
    <w:rsid w:val="00FA34A4"/>
    <w:rsid w:val="00FA39AA"/>
    <w:rsid w:val="00FA39CC"/>
    <w:rsid w:val="00FA3D90"/>
    <w:rsid w:val="00FA402C"/>
    <w:rsid w:val="00FA467B"/>
    <w:rsid w:val="00FA481E"/>
    <w:rsid w:val="00FA4994"/>
    <w:rsid w:val="00FA4FF0"/>
    <w:rsid w:val="00FA530D"/>
    <w:rsid w:val="00FA5DD4"/>
    <w:rsid w:val="00FA687D"/>
    <w:rsid w:val="00FA6986"/>
    <w:rsid w:val="00FA6F6A"/>
    <w:rsid w:val="00FA7290"/>
    <w:rsid w:val="00FA79E4"/>
    <w:rsid w:val="00FA7BEA"/>
    <w:rsid w:val="00FA7CBD"/>
    <w:rsid w:val="00FA7E22"/>
    <w:rsid w:val="00FA7E34"/>
    <w:rsid w:val="00FB0640"/>
    <w:rsid w:val="00FB0EF9"/>
    <w:rsid w:val="00FB0F14"/>
    <w:rsid w:val="00FB12F2"/>
    <w:rsid w:val="00FB1558"/>
    <w:rsid w:val="00FB227E"/>
    <w:rsid w:val="00FB2389"/>
    <w:rsid w:val="00FB28CB"/>
    <w:rsid w:val="00FB2C51"/>
    <w:rsid w:val="00FB2D66"/>
    <w:rsid w:val="00FB2F65"/>
    <w:rsid w:val="00FB2FE8"/>
    <w:rsid w:val="00FB3429"/>
    <w:rsid w:val="00FB4D0B"/>
    <w:rsid w:val="00FB5708"/>
    <w:rsid w:val="00FB576E"/>
    <w:rsid w:val="00FB58BA"/>
    <w:rsid w:val="00FB6353"/>
    <w:rsid w:val="00FB7822"/>
    <w:rsid w:val="00FB7CC4"/>
    <w:rsid w:val="00FB7D1C"/>
    <w:rsid w:val="00FB7E66"/>
    <w:rsid w:val="00FB7FB3"/>
    <w:rsid w:val="00FC0481"/>
    <w:rsid w:val="00FC0A2F"/>
    <w:rsid w:val="00FC1279"/>
    <w:rsid w:val="00FC1468"/>
    <w:rsid w:val="00FC17F1"/>
    <w:rsid w:val="00FC2415"/>
    <w:rsid w:val="00FC2766"/>
    <w:rsid w:val="00FC2A61"/>
    <w:rsid w:val="00FC2DF0"/>
    <w:rsid w:val="00FC2E90"/>
    <w:rsid w:val="00FC304A"/>
    <w:rsid w:val="00FC3205"/>
    <w:rsid w:val="00FC3532"/>
    <w:rsid w:val="00FC3686"/>
    <w:rsid w:val="00FC4046"/>
    <w:rsid w:val="00FC4409"/>
    <w:rsid w:val="00FC4610"/>
    <w:rsid w:val="00FC49A0"/>
    <w:rsid w:val="00FC4CE5"/>
    <w:rsid w:val="00FC53C6"/>
    <w:rsid w:val="00FC570D"/>
    <w:rsid w:val="00FC5D09"/>
    <w:rsid w:val="00FC5D39"/>
    <w:rsid w:val="00FC657A"/>
    <w:rsid w:val="00FC6586"/>
    <w:rsid w:val="00FC679B"/>
    <w:rsid w:val="00FC7048"/>
    <w:rsid w:val="00FC7405"/>
    <w:rsid w:val="00FC749A"/>
    <w:rsid w:val="00FC7F8C"/>
    <w:rsid w:val="00FD0177"/>
    <w:rsid w:val="00FD0561"/>
    <w:rsid w:val="00FD0A47"/>
    <w:rsid w:val="00FD0A66"/>
    <w:rsid w:val="00FD10C0"/>
    <w:rsid w:val="00FD1459"/>
    <w:rsid w:val="00FD1BA6"/>
    <w:rsid w:val="00FD28C5"/>
    <w:rsid w:val="00FD2BC7"/>
    <w:rsid w:val="00FD3E28"/>
    <w:rsid w:val="00FD407A"/>
    <w:rsid w:val="00FD4AE9"/>
    <w:rsid w:val="00FD4B7E"/>
    <w:rsid w:val="00FD594D"/>
    <w:rsid w:val="00FD5B9B"/>
    <w:rsid w:val="00FD5DF8"/>
    <w:rsid w:val="00FD64A4"/>
    <w:rsid w:val="00FD66D5"/>
    <w:rsid w:val="00FD67C0"/>
    <w:rsid w:val="00FD72C1"/>
    <w:rsid w:val="00FD7312"/>
    <w:rsid w:val="00FD763D"/>
    <w:rsid w:val="00FD7DD3"/>
    <w:rsid w:val="00FE08E7"/>
    <w:rsid w:val="00FE0F77"/>
    <w:rsid w:val="00FE10C9"/>
    <w:rsid w:val="00FE120E"/>
    <w:rsid w:val="00FE13A2"/>
    <w:rsid w:val="00FE1973"/>
    <w:rsid w:val="00FE1C40"/>
    <w:rsid w:val="00FE2B93"/>
    <w:rsid w:val="00FE30F1"/>
    <w:rsid w:val="00FE39E9"/>
    <w:rsid w:val="00FE4452"/>
    <w:rsid w:val="00FE4825"/>
    <w:rsid w:val="00FE4981"/>
    <w:rsid w:val="00FE4B40"/>
    <w:rsid w:val="00FE5598"/>
    <w:rsid w:val="00FE591B"/>
    <w:rsid w:val="00FE5AD7"/>
    <w:rsid w:val="00FE5C46"/>
    <w:rsid w:val="00FE5C60"/>
    <w:rsid w:val="00FE5D3C"/>
    <w:rsid w:val="00FE660B"/>
    <w:rsid w:val="00FE6DF9"/>
    <w:rsid w:val="00FE6ED7"/>
    <w:rsid w:val="00FE6F49"/>
    <w:rsid w:val="00FF08AB"/>
    <w:rsid w:val="00FF0B9A"/>
    <w:rsid w:val="00FF0CF7"/>
    <w:rsid w:val="00FF10B6"/>
    <w:rsid w:val="00FF16B1"/>
    <w:rsid w:val="00FF16EF"/>
    <w:rsid w:val="00FF1AA4"/>
    <w:rsid w:val="00FF1E98"/>
    <w:rsid w:val="00FF253F"/>
    <w:rsid w:val="00FF391E"/>
    <w:rsid w:val="00FF3BC9"/>
    <w:rsid w:val="00FF41C3"/>
    <w:rsid w:val="00FF5615"/>
    <w:rsid w:val="00FF5E73"/>
    <w:rsid w:val="00FF6855"/>
    <w:rsid w:val="00FF7CD0"/>
    <w:rsid w:val="00FF7D32"/>
    <w:rsid w:val="00FF7F7C"/>
    <w:rsid w:val="2EE3E4F1"/>
    <w:rsid w:val="3EBFCEC1"/>
    <w:rsid w:val="5DFB585C"/>
    <w:rsid w:val="5FDD3458"/>
    <w:rsid w:val="73DE6256"/>
    <w:rsid w:val="775FFF43"/>
    <w:rsid w:val="77ED7BAB"/>
    <w:rsid w:val="77F5980D"/>
    <w:rsid w:val="7BEB7471"/>
    <w:rsid w:val="7F7F9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31D6678F"/>
  <w15:docId w15:val="{EBE05AD6-6FE3-4E22-9C4C-3F1086524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EastAsia" w:cstheme="minorBidi"/>
      <w:sz w:val="18"/>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pPr>
      <w:keepNext/>
      <w:widowControl w:val="0"/>
      <w:tabs>
        <w:tab w:val="left" w:pos="8460"/>
      </w:tabs>
      <w:spacing w:after="0" w:line="240" w:lineRule="auto"/>
      <w:ind w:leftChars="50" w:left="121" w:hanging="1"/>
      <w:outlineLvl w:val="1"/>
    </w:pPr>
    <w:rPr>
      <w:rFonts w:ascii="Arial" w:eastAsia="PMingLiU" w:hAnsi="Arial" w:cs="Arial"/>
      <w:b/>
      <w:bCs/>
      <w:kern w:val="2"/>
      <w:szCs w:val="24"/>
      <w:lang w:eastAsia="zh-TW"/>
    </w:rPr>
  </w:style>
  <w:style w:type="paragraph" w:styleId="Heading3">
    <w:name w:val="heading 3"/>
    <w:basedOn w:val="Normal"/>
    <w:next w:val="Normal"/>
    <w:link w:val="Heading3Char"/>
    <w:uiPriority w:val="9"/>
    <w:unhideWhenUsed/>
    <w:qFormat/>
    <w:pPr>
      <w:keepNext/>
      <w:keepLines/>
      <w:numPr>
        <w:numId w:val="1"/>
      </w:numPr>
      <w:spacing w:before="260" w:after="260" w:line="240" w:lineRule="auto"/>
      <w:outlineLvl w:val="2"/>
    </w:pPr>
    <w:rPr>
      <w:b/>
      <w:bCs/>
      <w:sz w:val="32"/>
      <w:szCs w:val="32"/>
    </w:rPr>
  </w:style>
  <w:style w:type="paragraph" w:styleId="Heading4">
    <w:name w:val="heading 4"/>
    <w:basedOn w:val="Normal"/>
    <w:next w:val="Normal"/>
    <w:link w:val="Heading4Char"/>
    <w:uiPriority w:val="9"/>
    <w:unhideWhenUsed/>
    <w:qFormat/>
    <w:pPr>
      <w:keepNext/>
      <w:keepLines/>
      <w:numPr>
        <w:numId w:val="2"/>
      </w:numPr>
      <w:spacing w:before="280" w:after="290" w:line="240"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uiPriority w:val="39"/>
    <w:unhideWhenUsed/>
    <w:pPr>
      <w:tabs>
        <w:tab w:val="right" w:leader="dot" w:pos="7809"/>
      </w:tabs>
      <w:ind w:leftChars="300" w:left="660"/>
    </w:pPr>
    <w:rPr>
      <w:b/>
      <w:sz w:val="28"/>
      <w:szCs w:val="2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TOC1">
    <w:name w:val="toc 1"/>
    <w:basedOn w:val="Normal"/>
    <w:next w:val="Normal"/>
    <w:uiPriority w:val="39"/>
    <w:unhideWhenUsed/>
    <w:pPr>
      <w:spacing w:after="100"/>
    </w:pPr>
    <w:rPr>
      <w:rFonts w:cs="Times New Roman"/>
    </w:rPr>
  </w:style>
  <w:style w:type="paragraph" w:styleId="TOC4">
    <w:name w:val="toc 4"/>
    <w:basedOn w:val="Normal"/>
    <w:next w:val="Normal"/>
    <w:uiPriority w:val="39"/>
    <w:unhideWhenUsed/>
    <w:pPr>
      <w:ind w:leftChars="600" w:left="1260"/>
    </w:pPr>
    <w:rPr>
      <w:b/>
      <w:sz w:val="24"/>
    </w:rPr>
  </w:style>
  <w:style w:type="paragraph" w:styleId="TOC2">
    <w:name w:val="toc 2"/>
    <w:basedOn w:val="Normal"/>
    <w:next w:val="Normal"/>
    <w:uiPriority w:val="39"/>
    <w:unhideWhenUsed/>
    <w:pPr>
      <w:spacing w:after="100"/>
      <w:ind w:left="220"/>
    </w:pPr>
    <w:rPr>
      <w:rFonts w:cs="Times New Roman"/>
    </w:rPr>
  </w:style>
  <w:style w:type="paragraph" w:styleId="NormalWeb">
    <w:name w:val="Normal (Web)"/>
    <w:basedOn w:val="Normal"/>
    <w:uiPriority w:val="99"/>
    <w:unhideWhenUsed/>
    <w:pPr>
      <w:spacing w:before="100" w:beforeAutospacing="1" w:after="100" w:afterAutospacing="1" w:line="240" w:lineRule="auto"/>
    </w:pPr>
    <w:rPr>
      <w:rFonts w:cs="Times New Roman"/>
      <w:sz w:val="24"/>
      <w:szCs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paragraph" w:customStyle="1" w:styleId="TopCalls">
    <w:name w:val="Top Calls"/>
    <w:basedOn w:val="Normal"/>
    <w:link w:val="TopCallsChar"/>
    <w:qFormat/>
    <w:pPr>
      <w:spacing w:after="0" w:line="240" w:lineRule="auto"/>
    </w:pPr>
    <w:rPr>
      <w:rFonts w:ascii="Arial" w:hAnsi="Arial" w:cs="Arial"/>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TopCallsChar">
    <w:name w:val="Top Calls Char"/>
    <w:basedOn w:val="DefaultParagraphFont"/>
    <w:link w:val="TopCalls"/>
    <w:rPr>
      <w:rFonts w:ascii="Arial" w:hAnsi="Arial" w:cs="Arial"/>
      <w:sz w:val="20"/>
      <w:szCs w:val="20"/>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rPr>
      <w:rFonts w:ascii="Arial" w:eastAsia="PMingLiU" w:hAnsi="Arial" w:cs="Arial"/>
      <w:b/>
      <w:bCs/>
      <w:kern w:val="2"/>
      <w:sz w:val="18"/>
      <w:szCs w:val="24"/>
      <w:lang w:eastAsia="zh-TW"/>
    </w:rPr>
  </w:style>
  <w:style w:type="paragraph" w:customStyle="1" w:styleId="Default">
    <w:name w:val="Default"/>
    <w:basedOn w:val="Normal"/>
    <w:pPr>
      <w:autoSpaceDE w:val="0"/>
      <w:autoSpaceDN w:val="0"/>
      <w:spacing w:after="0" w:line="240" w:lineRule="auto"/>
    </w:pPr>
    <w:rPr>
      <w:rFonts w:ascii="SimSun" w:eastAsia="SimSun" w:hAnsi="SimSun" w:cs="Times New Roman"/>
      <w:color w:val="000000"/>
      <w:sz w:val="24"/>
      <w:szCs w:val="24"/>
    </w:rPr>
  </w:style>
  <w:style w:type="table" w:customStyle="1" w:styleId="TableGrid11">
    <w:name w:val="Table Grid11"/>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b/>
      <w:bCs/>
      <w:kern w:val="44"/>
      <w:sz w:val="44"/>
      <w:szCs w:val="44"/>
    </w:rPr>
  </w:style>
  <w:style w:type="paragraph" w:customStyle="1" w:styleId="TOC10">
    <w:name w:val="TOC 标题1"/>
    <w:basedOn w:val="Heading1"/>
    <w:next w:val="Normal"/>
    <w:uiPriority w:val="39"/>
    <w:unhideWhenUsed/>
    <w:qFormat/>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eading3Char">
    <w:name w:val="Heading 3 Char"/>
    <w:basedOn w:val="DefaultParagraphFont"/>
    <w:link w:val="Heading3"/>
    <w:uiPriority w:val="9"/>
    <w:rPr>
      <w:rFonts w:ascii="Times New Roman" w:hAnsi="Times New Roman"/>
      <w:b/>
      <w:bCs/>
      <w:sz w:val="32"/>
      <w:szCs w:val="32"/>
    </w:rPr>
  </w:style>
  <w:style w:type="table" w:customStyle="1" w:styleId="1">
    <w:name w:val="网格型1"/>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Pr>
      <w:b/>
      <w:bCs/>
      <w:sz w:val="28"/>
      <w:szCs w:val="28"/>
    </w:rPr>
  </w:style>
  <w:style w:type="character" w:customStyle="1" w:styleId="Heading6Char">
    <w:name w:val="Heading 6 Char"/>
    <w:basedOn w:val="DefaultParagraphFont"/>
    <w:link w:val="Heading6"/>
    <w:uiPriority w:val="9"/>
    <w:rPr>
      <w:rFonts w:asciiTheme="majorHAnsi" w:eastAsiaTheme="majorEastAsia" w:hAnsiTheme="majorHAnsi" w:cstheme="majorBidi"/>
      <w:b/>
      <w:bCs/>
      <w:sz w:val="24"/>
      <w:szCs w:val="24"/>
    </w:rPr>
  </w:style>
  <w:style w:type="character" w:styleId="CommentReference">
    <w:name w:val="annotation reference"/>
    <w:basedOn w:val="DefaultParagraphFont"/>
    <w:uiPriority w:val="99"/>
    <w:semiHidden/>
    <w:unhideWhenUsed/>
    <w:rsid w:val="00F62CC0"/>
    <w:rPr>
      <w:sz w:val="21"/>
      <w:szCs w:val="21"/>
    </w:rPr>
  </w:style>
  <w:style w:type="paragraph" w:styleId="CommentText">
    <w:name w:val="annotation text"/>
    <w:basedOn w:val="Normal"/>
    <w:link w:val="CommentTextChar"/>
    <w:uiPriority w:val="99"/>
    <w:semiHidden/>
    <w:unhideWhenUsed/>
    <w:rsid w:val="00F62CC0"/>
  </w:style>
  <w:style w:type="character" w:customStyle="1" w:styleId="CommentTextChar">
    <w:name w:val="Comment Text Char"/>
    <w:basedOn w:val="DefaultParagraphFont"/>
    <w:link w:val="CommentText"/>
    <w:uiPriority w:val="99"/>
    <w:semiHidden/>
    <w:rsid w:val="00F62CC0"/>
    <w:rPr>
      <w:rFonts w:eastAsiaTheme="minorEastAsia" w:cstheme="minorBidi"/>
      <w:sz w:val="18"/>
      <w:szCs w:val="22"/>
    </w:rPr>
  </w:style>
  <w:style w:type="paragraph" w:styleId="CommentSubject">
    <w:name w:val="annotation subject"/>
    <w:basedOn w:val="CommentText"/>
    <w:next w:val="CommentText"/>
    <w:link w:val="CommentSubjectChar"/>
    <w:uiPriority w:val="99"/>
    <w:semiHidden/>
    <w:unhideWhenUsed/>
    <w:rsid w:val="00F62CC0"/>
    <w:rPr>
      <w:b/>
      <w:bCs/>
    </w:rPr>
  </w:style>
  <w:style w:type="character" w:customStyle="1" w:styleId="CommentSubjectChar">
    <w:name w:val="Comment Subject Char"/>
    <w:basedOn w:val="CommentTextChar"/>
    <w:link w:val="CommentSubject"/>
    <w:uiPriority w:val="99"/>
    <w:semiHidden/>
    <w:rsid w:val="00F62CC0"/>
    <w:rPr>
      <w:rFonts w:eastAsiaTheme="minorEastAsia" w:cstheme="minorBidi"/>
      <w:b/>
      <w:bCs/>
      <w:sz w:val="18"/>
      <w:szCs w:val="22"/>
    </w:rPr>
  </w:style>
  <w:style w:type="paragraph" w:styleId="Caption">
    <w:name w:val="caption"/>
    <w:basedOn w:val="Normal"/>
    <w:next w:val="Normal"/>
    <w:uiPriority w:val="35"/>
    <w:unhideWhenUsed/>
    <w:qFormat/>
    <w:rsid w:val="00593364"/>
    <w:rPr>
      <w:rFonts w:asciiTheme="majorHAnsi" w:eastAsia="SimHei" w:hAnsiTheme="majorHAnsi" w:cstheme="majorBidi"/>
      <w:sz w:val="20"/>
      <w:szCs w:val="20"/>
    </w:rPr>
  </w:style>
  <w:style w:type="paragraph" w:styleId="TableofFigures">
    <w:name w:val="table of figures"/>
    <w:basedOn w:val="Normal"/>
    <w:next w:val="Normal"/>
    <w:uiPriority w:val="99"/>
    <w:unhideWhenUsed/>
    <w:rsid w:val="00593364"/>
    <w:pPr>
      <w:ind w:leftChars="200" w:left="200" w:hangingChars="200" w:hanging="200"/>
    </w:pPr>
  </w:style>
  <w:style w:type="paragraph" w:styleId="TOCHeading">
    <w:name w:val="TOC Heading"/>
    <w:basedOn w:val="Heading1"/>
    <w:next w:val="Normal"/>
    <w:uiPriority w:val="39"/>
    <w:unhideWhenUsed/>
    <w:qFormat/>
    <w:rsid w:val="001B6384"/>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a">
    <w:name w:val="正文格式"/>
    <w:basedOn w:val="Normal"/>
    <w:link w:val="Char"/>
    <w:qFormat/>
    <w:rsid w:val="00AD5E65"/>
    <w:pPr>
      <w:widowControl w:val="0"/>
      <w:autoSpaceDE w:val="0"/>
      <w:autoSpaceDN w:val="0"/>
      <w:adjustRightInd w:val="0"/>
      <w:spacing w:after="100" w:line="240" w:lineRule="auto"/>
      <w:ind w:leftChars="1257" w:left="1257"/>
    </w:pPr>
    <w:rPr>
      <w:rFonts w:ascii="Arial" w:eastAsia="KaiTi_GB2312" w:hAnsi="Arial" w:cs="Times New Roman"/>
      <w:sz w:val="21"/>
      <w:szCs w:val="21"/>
      <w:lang w:eastAsia="zh-TW"/>
    </w:rPr>
  </w:style>
  <w:style w:type="character" w:customStyle="1" w:styleId="Char">
    <w:name w:val="正文格式 Char"/>
    <w:link w:val="a"/>
    <w:rsid w:val="00AD5E65"/>
    <w:rPr>
      <w:rFonts w:ascii="Arial" w:eastAsia="KaiTi_GB2312" w:hAnsi="Arial"/>
      <w:sz w:val="21"/>
      <w:szCs w:val="21"/>
      <w:lang w:eastAsia="zh-TW"/>
    </w:rPr>
  </w:style>
  <w:style w:type="paragraph" w:customStyle="1" w:styleId="a0">
    <w:name w:val="财务附表"/>
    <w:qFormat/>
    <w:rsid w:val="00520F10"/>
    <w:pPr>
      <w:widowControl w:val="0"/>
      <w:wordWrap w:val="0"/>
      <w:adjustRightInd w:val="0"/>
      <w:jc w:val="both"/>
    </w:pPr>
    <w:rPr>
      <w:rFonts w:eastAsia="KaiTi_GB2312"/>
      <w:color w:val="44546A" w:themeColor="text2"/>
      <w:sz w:val="18"/>
      <w:szCs w:val="18"/>
    </w:rPr>
  </w:style>
  <w:style w:type="paragraph" w:customStyle="1" w:styleId="a1">
    <w:name w:val="财务附表表头"/>
    <w:basedOn w:val="a0"/>
    <w:qFormat/>
    <w:rsid w:val="00AD5E65"/>
    <w:rPr>
      <w:b/>
      <w:color w:val="FFFFFF" w:themeColor="background1"/>
    </w:rPr>
  </w:style>
  <w:style w:type="paragraph" w:customStyle="1" w:styleId="a2">
    <w:name w:val="财务附表标题"/>
    <w:qFormat/>
    <w:rsid w:val="00AD5E65"/>
    <w:pPr>
      <w:wordWrap w:val="0"/>
      <w:ind w:firstLineChars="50" w:firstLine="50"/>
      <w:jc w:val="both"/>
    </w:pPr>
    <w:rPr>
      <w:rFonts w:ascii="Arial" w:eastAsia="KaiTi_GB2312" w:hAnsi="Arial"/>
      <w:color w:val="44546A" w:themeColor="text2"/>
      <w:sz w:val="18"/>
      <w:szCs w:val="18"/>
    </w:rPr>
  </w:style>
  <w:style w:type="paragraph" w:customStyle="1" w:styleId="a3">
    <w:name w:val="图题"/>
    <w:basedOn w:val="Normal"/>
    <w:link w:val="Char0"/>
    <w:qFormat/>
    <w:rsid w:val="009F14D2"/>
    <w:pPr>
      <w:widowControl w:val="0"/>
      <w:autoSpaceDE w:val="0"/>
      <w:autoSpaceDN w:val="0"/>
      <w:adjustRightInd w:val="0"/>
      <w:spacing w:after="0" w:line="240" w:lineRule="auto"/>
    </w:pPr>
    <w:rPr>
      <w:rFonts w:ascii="Arial" w:eastAsia="KaiTi_GB2312" w:hAnsi="Arial" w:cs="Times New Roman"/>
      <w:b/>
      <w:color w:val="0F243E"/>
      <w:sz w:val="21"/>
      <w:szCs w:val="21"/>
      <w:lang w:eastAsia="zh-TW"/>
    </w:rPr>
  </w:style>
  <w:style w:type="character" w:customStyle="1" w:styleId="Char0">
    <w:name w:val="图题 Char"/>
    <w:link w:val="a3"/>
    <w:rsid w:val="009F14D2"/>
    <w:rPr>
      <w:rFonts w:ascii="Arial" w:eastAsia="KaiTi_GB2312" w:hAnsi="Arial"/>
      <w:b/>
      <w:color w:val="0F243E"/>
      <w:sz w:val="21"/>
      <w:szCs w:val="21"/>
      <w:lang w:eastAsia="zh-TW"/>
    </w:rPr>
  </w:style>
  <w:style w:type="paragraph" w:customStyle="1" w:styleId="a4">
    <w:name w:val="图表数据来源"/>
    <w:qFormat/>
    <w:rsid w:val="009F14D2"/>
    <w:rPr>
      <w:rFonts w:ascii="Arial" w:eastAsia="KaiTi_GB2312" w:hAnsi="Arial"/>
      <w:color w:val="0F243E"/>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149662">
      <w:bodyDiv w:val="1"/>
      <w:marLeft w:val="0"/>
      <w:marRight w:val="0"/>
      <w:marTop w:val="0"/>
      <w:marBottom w:val="0"/>
      <w:divBdr>
        <w:top w:val="none" w:sz="0" w:space="0" w:color="auto"/>
        <w:left w:val="none" w:sz="0" w:space="0" w:color="auto"/>
        <w:bottom w:val="none" w:sz="0" w:space="0" w:color="auto"/>
        <w:right w:val="none" w:sz="0" w:space="0" w:color="auto"/>
      </w:divBdr>
    </w:div>
    <w:div w:id="227543283">
      <w:bodyDiv w:val="1"/>
      <w:marLeft w:val="0"/>
      <w:marRight w:val="0"/>
      <w:marTop w:val="0"/>
      <w:marBottom w:val="0"/>
      <w:divBdr>
        <w:top w:val="none" w:sz="0" w:space="0" w:color="auto"/>
        <w:left w:val="none" w:sz="0" w:space="0" w:color="auto"/>
        <w:bottom w:val="none" w:sz="0" w:space="0" w:color="auto"/>
        <w:right w:val="none" w:sz="0" w:space="0" w:color="auto"/>
      </w:divBdr>
    </w:div>
    <w:div w:id="241793656">
      <w:bodyDiv w:val="1"/>
      <w:marLeft w:val="0"/>
      <w:marRight w:val="0"/>
      <w:marTop w:val="0"/>
      <w:marBottom w:val="0"/>
      <w:divBdr>
        <w:top w:val="none" w:sz="0" w:space="0" w:color="auto"/>
        <w:left w:val="none" w:sz="0" w:space="0" w:color="auto"/>
        <w:bottom w:val="none" w:sz="0" w:space="0" w:color="auto"/>
        <w:right w:val="none" w:sz="0" w:space="0" w:color="auto"/>
      </w:divBdr>
    </w:div>
    <w:div w:id="256595218">
      <w:bodyDiv w:val="1"/>
      <w:marLeft w:val="0"/>
      <w:marRight w:val="0"/>
      <w:marTop w:val="0"/>
      <w:marBottom w:val="0"/>
      <w:divBdr>
        <w:top w:val="none" w:sz="0" w:space="0" w:color="auto"/>
        <w:left w:val="none" w:sz="0" w:space="0" w:color="auto"/>
        <w:bottom w:val="none" w:sz="0" w:space="0" w:color="auto"/>
        <w:right w:val="none" w:sz="0" w:space="0" w:color="auto"/>
      </w:divBdr>
    </w:div>
    <w:div w:id="306783069">
      <w:bodyDiv w:val="1"/>
      <w:marLeft w:val="0"/>
      <w:marRight w:val="0"/>
      <w:marTop w:val="0"/>
      <w:marBottom w:val="0"/>
      <w:divBdr>
        <w:top w:val="none" w:sz="0" w:space="0" w:color="auto"/>
        <w:left w:val="none" w:sz="0" w:space="0" w:color="auto"/>
        <w:bottom w:val="none" w:sz="0" w:space="0" w:color="auto"/>
        <w:right w:val="none" w:sz="0" w:space="0" w:color="auto"/>
      </w:divBdr>
    </w:div>
    <w:div w:id="465051593">
      <w:bodyDiv w:val="1"/>
      <w:marLeft w:val="0"/>
      <w:marRight w:val="0"/>
      <w:marTop w:val="0"/>
      <w:marBottom w:val="0"/>
      <w:divBdr>
        <w:top w:val="none" w:sz="0" w:space="0" w:color="auto"/>
        <w:left w:val="none" w:sz="0" w:space="0" w:color="auto"/>
        <w:bottom w:val="none" w:sz="0" w:space="0" w:color="auto"/>
        <w:right w:val="none" w:sz="0" w:space="0" w:color="auto"/>
      </w:divBdr>
    </w:div>
    <w:div w:id="469594316">
      <w:bodyDiv w:val="1"/>
      <w:marLeft w:val="0"/>
      <w:marRight w:val="0"/>
      <w:marTop w:val="0"/>
      <w:marBottom w:val="0"/>
      <w:divBdr>
        <w:top w:val="none" w:sz="0" w:space="0" w:color="auto"/>
        <w:left w:val="none" w:sz="0" w:space="0" w:color="auto"/>
        <w:bottom w:val="none" w:sz="0" w:space="0" w:color="auto"/>
        <w:right w:val="none" w:sz="0" w:space="0" w:color="auto"/>
      </w:divBdr>
    </w:div>
    <w:div w:id="556741114">
      <w:bodyDiv w:val="1"/>
      <w:marLeft w:val="0"/>
      <w:marRight w:val="0"/>
      <w:marTop w:val="0"/>
      <w:marBottom w:val="0"/>
      <w:divBdr>
        <w:top w:val="none" w:sz="0" w:space="0" w:color="auto"/>
        <w:left w:val="none" w:sz="0" w:space="0" w:color="auto"/>
        <w:bottom w:val="none" w:sz="0" w:space="0" w:color="auto"/>
        <w:right w:val="none" w:sz="0" w:space="0" w:color="auto"/>
      </w:divBdr>
    </w:div>
    <w:div w:id="631059894">
      <w:bodyDiv w:val="1"/>
      <w:marLeft w:val="0"/>
      <w:marRight w:val="0"/>
      <w:marTop w:val="0"/>
      <w:marBottom w:val="0"/>
      <w:divBdr>
        <w:top w:val="none" w:sz="0" w:space="0" w:color="auto"/>
        <w:left w:val="none" w:sz="0" w:space="0" w:color="auto"/>
        <w:bottom w:val="none" w:sz="0" w:space="0" w:color="auto"/>
        <w:right w:val="none" w:sz="0" w:space="0" w:color="auto"/>
      </w:divBdr>
    </w:div>
    <w:div w:id="633213290">
      <w:bodyDiv w:val="1"/>
      <w:marLeft w:val="0"/>
      <w:marRight w:val="0"/>
      <w:marTop w:val="0"/>
      <w:marBottom w:val="0"/>
      <w:divBdr>
        <w:top w:val="none" w:sz="0" w:space="0" w:color="auto"/>
        <w:left w:val="none" w:sz="0" w:space="0" w:color="auto"/>
        <w:bottom w:val="none" w:sz="0" w:space="0" w:color="auto"/>
        <w:right w:val="none" w:sz="0" w:space="0" w:color="auto"/>
      </w:divBdr>
    </w:div>
    <w:div w:id="710230018">
      <w:bodyDiv w:val="1"/>
      <w:marLeft w:val="0"/>
      <w:marRight w:val="0"/>
      <w:marTop w:val="0"/>
      <w:marBottom w:val="0"/>
      <w:divBdr>
        <w:top w:val="none" w:sz="0" w:space="0" w:color="auto"/>
        <w:left w:val="none" w:sz="0" w:space="0" w:color="auto"/>
        <w:bottom w:val="none" w:sz="0" w:space="0" w:color="auto"/>
        <w:right w:val="none" w:sz="0" w:space="0" w:color="auto"/>
      </w:divBdr>
    </w:div>
    <w:div w:id="766727803">
      <w:bodyDiv w:val="1"/>
      <w:marLeft w:val="0"/>
      <w:marRight w:val="0"/>
      <w:marTop w:val="0"/>
      <w:marBottom w:val="0"/>
      <w:divBdr>
        <w:top w:val="none" w:sz="0" w:space="0" w:color="auto"/>
        <w:left w:val="none" w:sz="0" w:space="0" w:color="auto"/>
        <w:bottom w:val="none" w:sz="0" w:space="0" w:color="auto"/>
        <w:right w:val="none" w:sz="0" w:space="0" w:color="auto"/>
      </w:divBdr>
    </w:div>
    <w:div w:id="789709353">
      <w:bodyDiv w:val="1"/>
      <w:marLeft w:val="0"/>
      <w:marRight w:val="0"/>
      <w:marTop w:val="0"/>
      <w:marBottom w:val="0"/>
      <w:divBdr>
        <w:top w:val="none" w:sz="0" w:space="0" w:color="auto"/>
        <w:left w:val="none" w:sz="0" w:space="0" w:color="auto"/>
        <w:bottom w:val="none" w:sz="0" w:space="0" w:color="auto"/>
        <w:right w:val="none" w:sz="0" w:space="0" w:color="auto"/>
      </w:divBdr>
    </w:div>
    <w:div w:id="983435716">
      <w:bodyDiv w:val="1"/>
      <w:marLeft w:val="0"/>
      <w:marRight w:val="0"/>
      <w:marTop w:val="0"/>
      <w:marBottom w:val="0"/>
      <w:divBdr>
        <w:top w:val="none" w:sz="0" w:space="0" w:color="auto"/>
        <w:left w:val="none" w:sz="0" w:space="0" w:color="auto"/>
        <w:bottom w:val="none" w:sz="0" w:space="0" w:color="auto"/>
        <w:right w:val="none" w:sz="0" w:space="0" w:color="auto"/>
      </w:divBdr>
    </w:div>
    <w:div w:id="1059548181">
      <w:bodyDiv w:val="1"/>
      <w:marLeft w:val="0"/>
      <w:marRight w:val="0"/>
      <w:marTop w:val="0"/>
      <w:marBottom w:val="0"/>
      <w:divBdr>
        <w:top w:val="none" w:sz="0" w:space="0" w:color="auto"/>
        <w:left w:val="none" w:sz="0" w:space="0" w:color="auto"/>
        <w:bottom w:val="none" w:sz="0" w:space="0" w:color="auto"/>
        <w:right w:val="none" w:sz="0" w:space="0" w:color="auto"/>
      </w:divBdr>
    </w:div>
    <w:div w:id="1233471305">
      <w:bodyDiv w:val="1"/>
      <w:marLeft w:val="0"/>
      <w:marRight w:val="0"/>
      <w:marTop w:val="0"/>
      <w:marBottom w:val="0"/>
      <w:divBdr>
        <w:top w:val="none" w:sz="0" w:space="0" w:color="auto"/>
        <w:left w:val="none" w:sz="0" w:space="0" w:color="auto"/>
        <w:bottom w:val="none" w:sz="0" w:space="0" w:color="auto"/>
        <w:right w:val="none" w:sz="0" w:space="0" w:color="auto"/>
      </w:divBdr>
    </w:div>
    <w:div w:id="1300181997">
      <w:bodyDiv w:val="1"/>
      <w:marLeft w:val="0"/>
      <w:marRight w:val="0"/>
      <w:marTop w:val="0"/>
      <w:marBottom w:val="0"/>
      <w:divBdr>
        <w:top w:val="none" w:sz="0" w:space="0" w:color="auto"/>
        <w:left w:val="none" w:sz="0" w:space="0" w:color="auto"/>
        <w:bottom w:val="none" w:sz="0" w:space="0" w:color="auto"/>
        <w:right w:val="none" w:sz="0" w:space="0" w:color="auto"/>
      </w:divBdr>
    </w:div>
    <w:div w:id="1344747081">
      <w:bodyDiv w:val="1"/>
      <w:marLeft w:val="0"/>
      <w:marRight w:val="0"/>
      <w:marTop w:val="0"/>
      <w:marBottom w:val="0"/>
      <w:divBdr>
        <w:top w:val="none" w:sz="0" w:space="0" w:color="auto"/>
        <w:left w:val="none" w:sz="0" w:space="0" w:color="auto"/>
        <w:bottom w:val="none" w:sz="0" w:space="0" w:color="auto"/>
        <w:right w:val="none" w:sz="0" w:space="0" w:color="auto"/>
      </w:divBdr>
    </w:div>
    <w:div w:id="1361708132">
      <w:bodyDiv w:val="1"/>
      <w:marLeft w:val="0"/>
      <w:marRight w:val="0"/>
      <w:marTop w:val="0"/>
      <w:marBottom w:val="0"/>
      <w:divBdr>
        <w:top w:val="none" w:sz="0" w:space="0" w:color="auto"/>
        <w:left w:val="none" w:sz="0" w:space="0" w:color="auto"/>
        <w:bottom w:val="none" w:sz="0" w:space="0" w:color="auto"/>
        <w:right w:val="none" w:sz="0" w:space="0" w:color="auto"/>
      </w:divBdr>
    </w:div>
    <w:div w:id="1366834588">
      <w:bodyDiv w:val="1"/>
      <w:marLeft w:val="0"/>
      <w:marRight w:val="0"/>
      <w:marTop w:val="0"/>
      <w:marBottom w:val="0"/>
      <w:divBdr>
        <w:top w:val="none" w:sz="0" w:space="0" w:color="auto"/>
        <w:left w:val="none" w:sz="0" w:space="0" w:color="auto"/>
        <w:bottom w:val="none" w:sz="0" w:space="0" w:color="auto"/>
        <w:right w:val="none" w:sz="0" w:space="0" w:color="auto"/>
      </w:divBdr>
    </w:div>
    <w:div w:id="1370643330">
      <w:bodyDiv w:val="1"/>
      <w:marLeft w:val="0"/>
      <w:marRight w:val="0"/>
      <w:marTop w:val="0"/>
      <w:marBottom w:val="0"/>
      <w:divBdr>
        <w:top w:val="none" w:sz="0" w:space="0" w:color="auto"/>
        <w:left w:val="none" w:sz="0" w:space="0" w:color="auto"/>
        <w:bottom w:val="none" w:sz="0" w:space="0" w:color="auto"/>
        <w:right w:val="none" w:sz="0" w:space="0" w:color="auto"/>
      </w:divBdr>
    </w:div>
    <w:div w:id="1621256667">
      <w:bodyDiv w:val="1"/>
      <w:marLeft w:val="0"/>
      <w:marRight w:val="0"/>
      <w:marTop w:val="0"/>
      <w:marBottom w:val="0"/>
      <w:divBdr>
        <w:top w:val="none" w:sz="0" w:space="0" w:color="auto"/>
        <w:left w:val="none" w:sz="0" w:space="0" w:color="auto"/>
        <w:bottom w:val="none" w:sz="0" w:space="0" w:color="auto"/>
        <w:right w:val="none" w:sz="0" w:space="0" w:color="auto"/>
      </w:divBdr>
    </w:div>
    <w:div w:id="1709798362">
      <w:bodyDiv w:val="1"/>
      <w:marLeft w:val="0"/>
      <w:marRight w:val="0"/>
      <w:marTop w:val="0"/>
      <w:marBottom w:val="0"/>
      <w:divBdr>
        <w:top w:val="none" w:sz="0" w:space="0" w:color="auto"/>
        <w:left w:val="none" w:sz="0" w:space="0" w:color="auto"/>
        <w:bottom w:val="none" w:sz="0" w:space="0" w:color="auto"/>
        <w:right w:val="none" w:sz="0" w:space="0" w:color="auto"/>
      </w:divBdr>
    </w:div>
    <w:div w:id="1722557677">
      <w:bodyDiv w:val="1"/>
      <w:marLeft w:val="0"/>
      <w:marRight w:val="0"/>
      <w:marTop w:val="0"/>
      <w:marBottom w:val="0"/>
      <w:divBdr>
        <w:top w:val="none" w:sz="0" w:space="0" w:color="auto"/>
        <w:left w:val="none" w:sz="0" w:space="0" w:color="auto"/>
        <w:bottom w:val="none" w:sz="0" w:space="0" w:color="auto"/>
        <w:right w:val="none" w:sz="0" w:space="0" w:color="auto"/>
      </w:divBdr>
    </w:div>
    <w:div w:id="1755079816">
      <w:bodyDiv w:val="1"/>
      <w:marLeft w:val="0"/>
      <w:marRight w:val="0"/>
      <w:marTop w:val="0"/>
      <w:marBottom w:val="0"/>
      <w:divBdr>
        <w:top w:val="none" w:sz="0" w:space="0" w:color="auto"/>
        <w:left w:val="none" w:sz="0" w:space="0" w:color="auto"/>
        <w:bottom w:val="none" w:sz="0" w:space="0" w:color="auto"/>
        <w:right w:val="none" w:sz="0" w:space="0" w:color="auto"/>
      </w:divBdr>
    </w:div>
    <w:div w:id="1829857986">
      <w:bodyDiv w:val="1"/>
      <w:marLeft w:val="0"/>
      <w:marRight w:val="0"/>
      <w:marTop w:val="0"/>
      <w:marBottom w:val="0"/>
      <w:divBdr>
        <w:top w:val="none" w:sz="0" w:space="0" w:color="auto"/>
        <w:left w:val="none" w:sz="0" w:space="0" w:color="auto"/>
        <w:bottom w:val="none" w:sz="0" w:space="0" w:color="auto"/>
        <w:right w:val="none" w:sz="0" w:space="0" w:color="auto"/>
      </w:divBdr>
    </w:div>
    <w:div w:id="1916475112">
      <w:bodyDiv w:val="1"/>
      <w:marLeft w:val="0"/>
      <w:marRight w:val="0"/>
      <w:marTop w:val="0"/>
      <w:marBottom w:val="0"/>
      <w:divBdr>
        <w:top w:val="none" w:sz="0" w:space="0" w:color="auto"/>
        <w:left w:val="none" w:sz="0" w:space="0" w:color="auto"/>
        <w:bottom w:val="none" w:sz="0" w:space="0" w:color="auto"/>
        <w:right w:val="none" w:sz="0" w:space="0" w:color="auto"/>
      </w:divBdr>
    </w:div>
    <w:div w:id="1946188743">
      <w:bodyDiv w:val="1"/>
      <w:marLeft w:val="0"/>
      <w:marRight w:val="0"/>
      <w:marTop w:val="0"/>
      <w:marBottom w:val="0"/>
      <w:divBdr>
        <w:top w:val="none" w:sz="0" w:space="0" w:color="auto"/>
        <w:left w:val="none" w:sz="0" w:space="0" w:color="auto"/>
        <w:bottom w:val="none" w:sz="0" w:space="0" w:color="auto"/>
        <w:right w:val="none" w:sz="0" w:space="0" w:color="auto"/>
      </w:divBdr>
    </w:div>
    <w:div w:id="1985619581">
      <w:bodyDiv w:val="1"/>
      <w:marLeft w:val="0"/>
      <w:marRight w:val="0"/>
      <w:marTop w:val="0"/>
      <w:marBottom w:val="0"/>
      <w:divBdr>
        <w:top w:val="none" w:sz="0" w:space="0" w:color="auto"/>
        <w:left w:val="none" w:sz="0" w:space="0" w:color="auto"/>
        <w:bottom w:val="none" w:sz="0" w:space="0" w:color="auto"/>
        <w:right w:val="none" w:sz="0" w:space="0" w:color="auto"/>
      </w:divBdr>
    </w:div>
    <w:div w:id="1991251186">
      <w:bodyDiv w:val="1"/>
      <w:marLeft w:val="0"/>
      <w:marRight w:val="0"/>
      <w:marTop w:val="0"/>
      <w:marBottom w:val="0"/>
      <w:divBdr>
        <w:top w:val="none" w:sz="0" w:space="0" w:color="auto"/>
        <w:left w:val="none" w:sz="0" w:space="0" w:color="auto"/>
        <w:bottom w:val="none" w:sz="0" w:space="0" w:color="auto"/>
        <w:right w:val="none" w:sz="0" w:space="0" w:color="auto"/>
      </w:divBdr>
    </w:div>
    <w:div w:id="20429759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3.xm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hyperlink" Target="mailto:songping@gfgroup.com.hk" TargetMode="External"/><Relationship Id="rId17" Type="http://schemas.openxmlformats.org/officeDocument/2006/relationships/chart" Target="charts/chart2.xm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gfgroup.com.hk/"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6.e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chart" Target="charts/chart7.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0.jpeg"/><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3" Type="http://schemas.openxmlformats.org/officeDocument/2006/relationships/oleObject" Target="file:///C:\Users\Songping\Documents\SongPing\&#20013;&#22269;&#31227;&#21160;\&#20013;&#22269;&#31227;&#21160;.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Microsoft_Excel_Worksheet4.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Microsoft_Excel_Worksheet5.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9.8730115257331968E-2"/>
          <c:y val="7.1710948412150227E-2"/>
          <c:w val="0.73959922401004219"/>
          <c:h val="0.59007536338659416"/>
        </c:manualLayout>
      </c:layout>
      <c:lineChart>
        <c:grouping val="standard"/>
        <c:varyColors val="0"/>
        <c:ser>
          <c:idx val="0"/>
          <c:order val="0"/>
          <c:spPr>
            <a:ln w="28575" cap="rnd">
              <a:solidFill>
                <a:schemeClr val="accent1"/>
              </a:solidFill>
              <a:round/>
            </a:ln>
            <a:effectLst/>
          </c:spPr>
          <c:marker>
            <c:symbol val="none"/>
          </c:marker>
          <c:cat>
            <c:numRef>
              <c:f>file!$A$2:$A$300</c:f>
              <c:numCache>
                <c:formatCode>yyyy\-mm\-dd</c:formatCode>
                <c:ptCount val="299"/>
                <c:pt idx="0">
                  <c:v>44564</c:v>
                </c:pt>
                <c:pt idx="1">
                  <c:v>44565</c:v>
                </c:pt>
                <c:pt idx="2">
                  <c:v>44566</c:v>
                </c:pt>
                <c:pt idx="3">
                  <c:v>44567</c:v>
                </c:pt>
                <c:pt idx="4">
                  <c:v>44568</c:v>
                </c:pt>
                <c:pt idx="5">
                  <c:v>44571</c:v>
                </c:pt>
                <c:pt idx="6">
                  <c:v>44572</c:v>
                </c:pt>
                <c:pt idx="7">
                  <c:v>44573</c:v>
                </c:pt>
                <c:pt idx="8">
                  <c:v>44574</c:v>
                </c:pt>
                <c:pt idx="9">
                  <c:v>44575</c:v>
                </c:pt>
                <c:pt idx="10">
                  <c:v>44578</c:v>
                </c:pt>
                <c:pt idx="11">
                  <c:v>44579</c:v>
                </c:pt>
                <c:pt idx="12">
                  <c:v>44580</c:v>
                </c:pt>
                <c:pt idx="13">
                  <c:v>44581</c:v>
                </c:pt>
                <c:pt idx="14">
                  <c:v>44582</c:v>
                </c:pt>
                <c:pt idx="15">
                  <c:v>44585</c:v>
                </c:pt>
                <c:pt idx="16">
                  <c:v>44586</c:v>
                </c:pt>
                <c:pt idx="17">
                  <c:v>44587</c:v>
                </c:pt>
                <c:pt idx="18">
                  <c:v>44588</c:v>
                </c:pt>
                <c:pt idx="19">
                  <c:v>44589</c:v>
                </c:pt>
                <c:pt idx="20">
                  <c:v>44592</c:v>
                </c:pt>
                <c:pt idx="21">
                  <c:v>44596</c:v>
                </c:pt>
                <c:pt idx="22">
                  <c:v>44599</c:v>
                </c:pt>
                <c:pt idx="23">
                  <c:v>44600</c:v>
                </c:pt>
                <c:pt idx="24">
                  <c:v>44601</c:v>
                </c:pt>
                <c:pt idx="25">
                  <c:v>44602</c:v>
                </c:pt>
                <c:pt idx="26">
                  <c:v>44603</c:v>
                </c:pt>
                <c:pt idx="27">
                  <c:v>44606</c:v>
                </c:pt>
                <c:pt idx="28">
                  <c:v>44607</c:v>
                </c:pt>
                <c:pt idx="29">
                  <c:v>44608</c:v>
                </c:pt>
                <c:pt idx="30">
                  <c:v>44609</c:v>
                </c:pt>
                <c:pt idx="31">
                  <c:v>44610</c:v>
                </c:pt>
                <c:pt idx="32">
                  <c:v>44613</c:v>
                </c:pt>
                <c:pt idx="33">
                  <c:v>44614</c:v>
                </c:pt>
                <c:pt idx="34">
                  <c:v>44615</c:v>
                </c:pt>
                <c:pt idx="35">
                  <c:v>44616</c:v>
                </c:pt>
                <c:pt idx="36">
                  <c:v>44617</c:v>
                </c:pt>
                <c:pt idx="37">
                  <c:v>44620</c:v>
                </c:pt>
                <c:pt idx="38">
                  <c:v>44621</c:v>
                </c:pt>
                <c:pt idx="39">
                  <c:v>44622</c:v>
                </c:pt>
                <c:pt idx="40">
                  <c:v>44623</c:v>
                </c:pt>
                <c:pt idx="41">
                  <c:v>44624</c:v>
                </c:pt>
                <c:pt idx="42">
                  <c:v>44627</c:v>
                </c:pt>
                <c:pt idx="43">
                  <c:v>44628</c:v>
                </c:pt>
                <c:pt idx="44">
                  <c:v>44629</c:v>
                </c:pt>
                <c:pt idx="45">
                  <c:v>44630</c:v>
                </c:pt>
                <c:pt idx="46">
                  <c:v>44631</c:v>
                </c:pt>
                <c:pt idx="47">
                  <c:v>44634</c:v>
                </c:pt>
                <c:pt idx="48">
                  <c:v>44635</c:v>
                </c:pt>
                <c:pt idx="49">
                  <c:v>44636</c:v>
                </c:pt>
                <c:pt idx="50">
                  <c:v>44637</c:v>
                </c:pt>
                <c:pt idx="51">
                  <c:v>44638</c:v>
                </c:pt>
                <c:pt idx="52">
                  <c:v>44641</c:v>
                </c:pt>
                <c:pt idx="53">
                  <c:v>44642</c:v>
                </c:pt>
                <c:pt idx="54">
                  <c:v>44643</c:v>
                </c:pt>
                <c:pt idx="55">
                  <c:v>44644</c:v>
                </c:pt>
                <c:pt idx="56">
                  <c:v>44645</c:v>
                </c:pt>
                <c:pt idx="57">
                  <c:v>44648</c:v>
                </c:pt>
                <c:pt idx="58">
                  <c:v>44649</c:v>
                </c:pt>
                <c:pt idx="59">
                  <c:v>44650</c:v>
                </c:pt>
                <c:pt idx="60">
                  <c:v>44651</c:v>
                </c:pt>
                <c:pt idx="61">
                  <c:v>44652</c:v>
                </c:pt>
                <c:pt idx="62">
                  <c:v>44655</c:v>
                </c:pt>
                <c:pt idx="63">
                  <c:v>44657</c:v>
                </c:pt>
                <c:pt idx="64">
                  <c:v>44658</c:v>
                </c:pt>
                <c:pt idx="65">
                  <c:v>44659</c:v>
                </c:pt>
                <c:pt idx="66">
                  <c:v>44662</c:v>
                </c:pt>
                <c:pt idx="67">
                  <c:v>44663</c:v>
                </c:pt>
                <c:pt idx="68">
                  <c:v>44664</c:v>
                </c:pt>
                <c:pt idx="69">
                  <c:v>44665</c:v>
                </c:pt>
                <c:pt idx="70">
                  <c:v>44670</c:v>
                </c:pt>
                <c:pt idx="71">
                  <c:v>44671</c:v>
                </c:pt>
                <c:pt idx="72">
                  <c:v>44672</c:v>
                </c:pt>
                <c:pt idx="73">
                  <c:v>44673</c:v>
                </c:pt>
                <c:pt idx="74">
                  <c:v>44676</c:v>
                </c:pt>
                <c:pt idx="75">
                  <c:v>44677</c:v>
                </c:pt>
                <c:pt idx="76">
                  <c:v>44678</c:v>
                </c:pt>
                <c:pt idx="77">
                  <c:v>44679</c:v>
                </c:pt>
                <c:pt idx="78">
                  <c:v>44680</c:v>
                </c:pt>
                <c:pt idx="79">
                  <c:v>44684</c:v>
                </c:pt>
                <c:pt idx="80">
                  <c:v>44685</c:v>
                </c:pt>
                <c:pt idx="81">
                  <c:v>44686</c:v>
                </c:pt>
                <c:pt idx="82">
                  <c:v>44687</c:v>
                </c:pt>
                <c:pt idx="83">
                  <c:v>44691</c:v>
                </c:pt>
                <c:pt idx="84">
                  <c:v>44692</c:v>
                </c:pt>
                <c:pt idx="85">
                  <c:v>44693</c:v>
                </c:pt>
                <c:pt idx="86">
                  <c:v>44694</c:v>
                </c:pt>
                <c:pt idx="87">
                  <c:v>44697</c:v>
                </c:pt>
                <c:pt idx="88">
                  <c:v>44698</c:v>
                </c:pt>
                <c:pt idx="89">
                  <c:v>44699</c:v>
                </c:pt>
                <c:pt idx="90">
                  <c:v>44700</c:v>
                </c:pt>
                <c:pt idx="91">
                  <c:v>44701</c:v>
                </c:pt>
                <c:pt idx="92">
                  <c:v>44704</c:v>
                </c:pt>
                <c:pt idx="93">
                  <c:v>44705</c:v>
                </c:pt>
                <c:pt idx="94">
                  <c:v>44706</c:v>
                </c:pt>
                <c:pt idx="95">
                  <c:v>44707</c:v>
                </c:pt>
                <c:pt idx="96">
                  <c:v>44708</c:v>
                </c:pt>
                <c:pt idx="97">
                  <c:v>44711</c:v>
                </c:pt>
                <c:pt idx="98">
                  <c:v>44712</c:v>
                </c:pt>
                <c:pt idx="99">
                  <c:v>44713</c:v>
                </c:pt>
                <c:pt idx="100">
                  <c:v>44714</c:v>
                </c:pt>
                <c:pt idx="101">
                  <c:v>44718</c:v>
                </c:pt>
                <c:pt idx="102">
                  <c:v>44719</c:v>
                </c:pt>
                <c:pt idx="103">
                  <c:v>44720</c:v>
                </c:pt>
                <c:pt idx="104">
                  <c:v>44721</c:v>
                </c:pt>
                <c:pt idx="105">
                  <c:v>44722</c:v>
                </c:pt>
                <c:pt idx="106">
                  <c:v>44725</c:v>
                </c:pt>
                <c:pt idx="107">
                  <c:v>44726</c:v>
                </c:pt>
                <c:pt idx="108">
                  <c:v>44727</c:v>
                </c:pt>
                <c:pt idx="109">
                  <c:v>44728</c:v>
                </c:pt>
                <c:pt idx="110">
                  <c:v>44729</c:v>
                </c:pt>
                <c:pt idx="111">
                  <c:v>44732</c:v>
                </c:pt>
                <c:pt idx="112">
                  <c:v>44733</c:v>
                </c:pt>
                <c:pt idx="113">
                  <c:v>44734</c:v>
                </c:pt>
                <c:pt idx="114">
                  <c:v>44735</c:v>
                </c:pt>
                <c:pt idx="115">
                  <c:v>44736</c:v>
                </c:pt>
                <c:pt idx="116">
                  <c:v>44739</c:v>
                </c:pt>
                <c:pt idx="117">
                  <c:v>44740</c:v>
                </c:pt>
                <c:pt idx="118">
                  <c:v>44741</c:v>
                </c:pt>
                <c:pt idx="119">
                  <c:v>44742</c:v>
                </c:pt>
                <c:pt idx="120">
                  <c:v>44746</c:v>
                </c:pt>
                <c:pt idx="121">
                  <c:v>44747</c:v>
                </c:pt>
                <c:pt idx="122">
                  <c:v>44748</c:v>
                </c:pt>
                <c:pt idx="123">
                  <c:v>44749</c:v>
                </c:pt>
                <c:pt idx="124">
                  <c:v>44750</c:v>
                </c:pt>
                <c:pt idx="125">
                  <c:v>44753</c:v>
                </c:pt>
                <c:pt idx="126">
                  <c:v>44754</c:v>
                </c:pt>
                <c:pt idx="127">
                  <c:v>44755</c:v>
                </c:pt>
                <c:pt idx="128">
                  <c:v>44756</c:v>
                </c:pt>
                <c:pt idx="129">
                  <c:v>44757</c:v>
                </c:pt>
                <c:pt idx="130">
                  <c:v>44760</c:v>
                </c:pt>
                <c:pt idx="131">
                  <c:v>44761</c:v>
                </c:pt>
                <c:pt idx="132">
                  <c:v>44762</c:v>
                </c:pt>
                <c:pt idx="133">
                  <c:v>44763</c:v>
                </c:pt>
                <c:pt idx="134">
                  <c:v>44764</c:v>
                </c:pt>
                <c:pt idx="135">
                  <c:v>44767</c:v>
                </c:pt>
                <c:pt idx="136">
                  <c:v>44768</c:v>
                </c:pt>
                <c:pt idx="137">
                  <c:v>44769</c:v>
                </c:pt>
                <c:pt idx="138">
                  <c:v>44770</c:v>
                </c:pt>
                <c:pt idx="139">
                  <c:v>44771</c:v>
                </c:pt>
                <c:pt idx="140">
                  <c:v>44774</c:v>
                </c:pt>
                <c:pt idx="141">
                  <c:v>44775</c:v>
                </c:pt>
                <c:pt idx="142">
                  <c:v>44776</c:v>
                </c:pt>
                <c:pt idx="143">
                  <c:v>44777</c:v>
                </c:pt>
                <c:pt idx="144">
                  <c:v>44778</c:v>
                </c:pt>
                <c:pt idx="145">
                  <c:v>44781</c:v>
                </c:pt>
                <c:pt idx="146">
                  <c:v>44782</c:v>
                </c:pt>
                <c:pt idx="147">
                  <c:v>44783</c:v>
                </c:pt>
                <c:pt idx="148">
                  <c:v>44784</c:v>
                </c:pt>
                <c:pt idx="149">
                  <c:v>44785</c:v>
                </c:pt>
                <c:pt idx="150">
                  <c:v>44788</c:v>
                </c:pt>
                <c:pt idx="151">
                  <c:v>44789</c:v>
                </c:pt>
                <c:pt idx="152">
                  <c:v>44790</c:v>
                </c:pt>
                <c:pt idx="153">
                  <c:v>44791</c:v>
                </c:pt>
                <c:pt idx="154">
                  <c:v>44792</c:v>
                </c:pt>
                <c:pt idx="155">
                  <c:v>44795</c:v>
                </c:pt>
                <c:pt idx="156">
                  <c:v>44796</c:v>
                </c:pt>
                <c:pt idx="157">
                  <c:v>44797</c:v>
                </c:pt>
                <c:pt idx="158">
                  <c:v>44798</c:v>
                </c:pt>
                <c:pt idx="159">
                  <c:v>44799</c:v>
                </c:pt>
                <c:pt idx="160">
                  <c:v>44802</c:v>
                </c:pt>
                <c:pt idx="161">
                  <c:v>44803</c:v>
                </c:pt>
                <c:pt idx="162">
                  <c:v>44804</c:v>
                </c:pt>
                <c:pt idx="163">
                  <c:v>44805</c:v>
                </c:pt>
                <c:pt idx="164">
                  <c:v>44806</c:v>
                </c:pt>
                <c:pt idx="165">
                  <c:v>44809</c:v>
                </c:pt>
                <c:pt idx="166">
                  <c:v>44810</c:v>
                </c:pt>
                <c:pt idx="167">
                  <c:v>44811</c:v>
                </c:pt>
                <c:pt idx="168">
                  <c:v>44812</c:v>
                </c:pt>
                <c:pt idx="169">
                  <c:v>44813</c:v>
                </c:pt>
                <c:pt idx="170">
                  <c:v>44817</c:v>
                </c:pt>
                <c:pt idx="171">
                  <c:v>44818</c:v>
                </c:pt>
                <c:pt idx="172">
                  <c:v>44819</c:v>
                </c:pt>
                <c:pt idx="173">
                  <c:v>44820</c:v>
                </c:pt>
                <c:pt idx="174">
                  <c:v>44823</c:v>
                </c:pt>
                <c:pt idx="175">
                  <c:v>44824</c:v>
                </c:pt>
                <c:pt idx="176">
                  <c:v>44825</c:v>
                </c:pt>
                <c:pt idx="177">
                  <c:v>44826</c:v>
                </c:pt>
                <c:pt idx="178">
                  <c:v>44827</c:v>
                </c:pt>
                <c:pt idx="179">
                  <c:v>44830</c:v>
                </c:pt>
                <c:pt idx="180">
                  <c:v>44831</c:v>
                </c:pt>
                <c:pt idx="181">
                  <c:v>44832</c:v>
                </c:pt>
                <c:pt idx="182">
                  <c:v>44833</c:v>
                </c:pt>
                <c:pt idx="183">
                  <c:v>44834</c:v>
                </c:pt>
                <c:pt idx="184">
                  <c:v>44837</c:v>
                </c:pt>
                <c:pt idx="185">
                  <c:v>44839</c:v>
                </c:pt>
                <c:pt idx="186">
                  <c:v>44840</c:v>
                </c:pt>
                <c:pt idx="187">
                  <c:v>44841</c:v>
                </c:pt>
                <c:pt idx="188">
                  <c:v>44844</c:v>
                </c:pt>
                <c:pt idx="189">
                  <c:v>44845</c:v>
                </c:pt>
                <c:pt idx="190">
                  <c:v>44846</c:v>
                </c:pt>
                <c:pt idx="191">
                  <c:v>44847</c:v>
                </c:pt>
                <c:pt idx="192">
                  <c:v>44848</c:v>
                </c:pt>
                <c:pt idx="193">
                  <c:v>44851</c:v>
                </c:pt>
                <c:pt idx="194">
                  <c:v>44852</c:v>
                </c:pt>
                <c:pt idx="195">
                  <c:v>44853</c:v>
                </c:pt>
                <c:pt idx="196">
                  <c:v>44854</c:v>
                </c:pt>
                <c:pt idx="197">
                  <c:v>44855</c:v>
                </c:pt>
                <c:pt idx="198">
                  <c:v>44858</c:v>
                </c:pt>
                <c:pt idx="199">
                  <c:v>44859</c:v>
                </c:pt>
                <c:pt idx="200">
                  <c:v>44860</c:v>
                </c:pt>
                <c:pt idx="201">
                  <c:v>44861</c:v>
                </c:pt>
                <c:pt idx="202">
                  <c:v>44862</c:v>
                </c:pt>
                <c:pt idx="203">
                  <c:v>44865</c:v>
                </c:pt>
                <c:pt idx="204">
                  <c:v>44866</c:v>
                </c:pt>
                <c:pt idx="205">
                  <c:v>44867</c:v>
                </c:pt>
                <c:pt idx="206">
                  <c:v>44868</c:v>
                </c:pt>
                <c:pt idx="207">
                  <c:v>44869</c:v>
                </c:pt>
                <c:pt idx="208">
                  <c:v>44872</c:v>
                </c:pt>
                <c:pt idx="209">
                  <c:v>44873</c:v>
                </c:pt>
                <c:pt idx="210">
                  <c:v>44874</c:v>
                </c:pt>
                <c:pt idx="211">
                  <c:v>44875</c:v>
                </c:pt>
                <c:pt idx="212">
                  <c:v>44876</c:v>
                </c:pt>
                <c:pt idx="213">
                  <c:v>44879</c:v>
                </c:pt>
                <c:pt idx="214">
                  <c:v>44880</c:v>
                </c:pt>
                <c:pt idx="215">
                  <c:v>44881</c:v>
                </c:pt>
                <c:pt idx="216">
                  <c:v>44882</c:v>
                </c:pt>
                <c:pt idx="217">
                  <c:v>44883</c:v>
                </c:pt>
                <c:pt idx="218">
                  <c:v>44886</c:v>
                </c:pt>
                <c:pt idx="219">
                  <c:v>44887</c:v>
                </c:pt>
                <c:pt idx="220">
                  <c:v>44888</c:v>
                </c:pt>
                <c:pt idx="221">
                  <c:v>44889</c:v>
                </c:pt>
                <c:pt idx="222">
                  <c:v>44890</c:v>
                </c:pt>
                <c:pt idx="223">
                  <c:v>44893</c:v>
                </c:pt>
                <c:pt idx="224">
                  <c:v>44894</c:v>
                </c:pt>
                <c:pt idx="225">
                  <c:v>44895</c:v>
                </c:pt>
                <c:pt idx="226">
                  <c:v>44896</c:v>
                </c:pt>
                <c:pt idx="227">
                  <c:v>44897</c:v>
                </c:pt>
                <c:pt idx="228">
                  <c:v>44900</c:v>
                </c:pt>
                <c:pt idx="229">
                  <c:v>44901</c:v>
                </c:pt>
                <c:pt idx="230">
                  <c:v>44902</c:v>
                </c:pt>
                <c:pt idx="231">
                  <c:v>44903</c:v>
                </c:pt>
                <c:pt idx="232">
                  <c:v>44904</c:v>
                </c:pt>
                <c:pt idx="233">
                  <c:v>44907</c:v>
                </c:pt>
                <c:pt idx="234">
                  <c:v>44908</c:v>
                </c:pt>
                <c:pt idx="235">
                  <c:v>44909</c:v>
                </c:pt>
                <c:pt idx="236">
                  <c:v>44910</c:v>
                </c:pt>
                <c:pt idx="237">
                  <c:v>44911</c:v>
                </c:pt>
                <c:pt idx="238">
                  <c:v>44914</c:v>
                </c:pt>
                <c:pt idx="239">
                  <c:v>44915</c:v>
                </c:pt>
                <c:pt idx="240">
                  <c:v>44916</c:v>
                </c:pt>
                <c:pt idx="241">
                  <c:v>44917</c:v>
                </c:pt>
                <c:pt idx="242">
                  <c:v>44918</c:v>
                </c:pt>
                <c:pt idx="243">
                  <c:v>44923</c:v>
                </c:pt>
                <c:pt idx="244">
                  <c:v>44924</c:v>
                </c:pt>
                <c:pt idx="245">
                  <c:v>44925</c:v>
                </c:pt>
                <c:pt idx="246">
                  <c:v>44929</c:v>
                </c:pt>
                <c:pt idx="247">
                  <c:v>44930</c:v>
                </c:pt>
                <c:pt idx="248">
                  <c:v>44931</c:v>
                </c:pt>
                <c:pt idx="249">
                  <c:v>44932</c:v>
                </c:pt>
                <c:pt idx="250">
                  <c:v>44935</c:v>
                </c:pt>
                <c:pt idx="251">
                  <c:v>44936</c:v>
                </c:pt>
                <c:pt idx="252">
                  <c:v>44937</c:v>
                </c:pt>
                <c:pt idx="253">
                  <c:v>44938</c:v>
                </c:pt>
                <c:pt idx="254">
                  <c:v>44939</c:v>
                </c:pt>
                <c:pt idx="255">
                  <c:v>44942</c:v>
                </c:pt>
                <c:pt idx="256">
                  <c:v>44943</c:v>
                </c:pt>
                <c:pt idx="257">
                  <c:v>44944</c:v>
                </c:pt>
                <c:pt idx="258">
                  <c:v>44945</c:v>
                </c:pt>
                <c:pt idx="259">
                  <c:v>44946</c:v>
                </c:pt>
                <c:pt idx="260">
                  <c:v>44952</c:v>
                </c:pt>
                <c:pt idx="261">
                  <c:v>44953</c:v>
                </c:pt>
                <c:pt idx="262">
                  <c:v>44956</c:v>
                </c:pt>
                <c:pt idx="263">
                  <c:v>44957</c:v>
                </c:pt>
                <c:pt idx="264">
                  <c:v>44958</c:v>
                </c:pt>
                <c:pt idx="265">
                  <c:v>44959</c:v>
                </c:pt>
                <c:pt idx="266">
                  <c:v>44960</c:v>
                </c:pt>
                <c:pt idx="267">
                  <c:v>44963</c:v>
                </c:pt>
                <c:pt idx="268">
                  <c:v>44964</c:v>
                </c:pt>
                <c:pt idx="269">
                  <c:v>44965</c:v>
                </c:pt>
                <c:pt idx="270">
                  <c:v>44966</c:v>
                </c:pt>
                <c:pt idx="271">
                  <c:v>44967</c:v>
                </c:pt>
                <c:pt idx="272">
                  <c:v>44970</c:v>
                </c:pt>
                <c:pt idx="273">
                  <c:v>44971</c:v>
                </c:pt>
                <c:pt idx="274">
                  <c:v>44972</c:v>
                </c:pt>
                <c:pt idx="275">
                  <c:v>44973</c:v>
                </c:pt>
                <c:pt idx="276">
                  <c:v>44974</c:v>
                </c:pt>
                <c:pt idx="277">
                  <c:v>44977</c:v>
                </c:pt>
                <c:pt idx="278">
                  <c:v>44978</c:v>
                </c:pt>
                <c:pt idx="279">
                  <c:v>44979</c:v>
                </c:pt>
                <c:pt idx="280">
                  <c:v>44980</c:v>
                </c:pt>
                <c:pt idx="281">
                  <c:v>44981</c:v>
                </c:pt>
                <c:pt idx="282">
                  <c:v>44984</c:v>
                </c:pt>
                <c:pt idx="283">
                  <c:v>44985</c:v>
                </c:pt>
                <c:pt idx="284">
                  <c:v>44986</c:v>
                </c:pt>
                <c:pt idx="285">
                  <c:v>44987</c:v>
                </c:pt>
                <c:pt idx="286">
                  <c:v>44988</c:v>
                </c:pt>
                <c:pt idx="287">
                  <c:v>44991</c:v>
                </c:pt>
                <c:pt idx="288">
                  <c:v>44992</c:v>
                </c:pt>
                <c:pt idx="289">
                  <c:v>44993</c:v>
                </c:pt>
                <c:pt idx="290">
                  <c:v>44994</c:v>
                </c:pt>
                <c:pt idx="291">
                  <c:v>44995</c:v>
                </c:pt>
                <c:pt idx="292">
                  <c:v>44998</c:v>
                </c:pt>
                <c:pt idx="293">
                  <c:v>44999</c:v>
                </c:pt>
                <c:pt idx="294">
                  <c:v>45000</c:v>
                </c:pt>
                <c:pt idx="295">
                  <c:v>45001</c:v>
                </c:pt>
                <c:pt idx="296">
                  <c:v>45002</c:v>
                </c:pt>
                <c:pt idx="297">
                  <c:v>45005</c:v>
                </c:pt>
                <c:pt idx="298">
                  <c:v>45006</c:v>
                </c:pt>
              </c:numCache>
            </c:numRef>
          </c:cat>
          <c:val>
            <c:numRef>
              <c:f>file!$B$2:$B$300</c:f>
              <c:numCache>
                <c:formatCode>General</c:formatCode>
                <c:ptCount val="299"/>
                <c:pt idx="0">
                  <c:v>43.033999999999999</c:v>
                </c:pt>
                <c:pt idx="1">
                  <c:v>43.856000000000002</c:v>
                </c:pt>
                <c:pt idx="2">
                  <c:v>45.317999999999998</c:v>
                </c:pt>
                <c:pt idx="3">
                  <c:v>44.906999999999996</c:v>
                </c:pt>
                <c:pt idx="4">
                  <c:v>45.408999999999999</c:v>
                </c:pt>
                <c:pt idx="5">
                  <c:v>45.957000000000001</c:v>
                </c:pt>
                <c:pt idx="6">
                  <c:v>46.094000000000001</c:v>
                </c:pt>
                <c:pt idx="7">
                  <c:v>46.414000000000001</c:v>
                </c:pt>
                <c:pt idx="8">
                  <c:v>46.643000000000001</c:v>
                </c:pt>
                <c:pt idx="9">
                  <c:v>46.414000000000001</c:v>
                </c:pt>
                <c:pt idx="10">
                  <c:v>46.186</c:v>
                </c:pt>
                <c:pt idx="11">
                  <c:v>46.231000000000002</c:v>
                </c:pt>
                <c:pt idx="12">
                  <c:v>45.957000000000001</c:v>
                </c:pt>
                <c:pt idx="13">
                  <c:v>46.14</c:v>
                </c:pt>
                <c:pt idx="14">
                  <c:v>46.825000000000003</c:v>
                </c:pt>
                <c:pt idx="15">
                  <c:v>47.784999999999997</c:v>
                </c:pt>
                <c:pt idx="16">
                  <c:v>47.784999999999997</c:v>
                </c:pt>
                <c:pt idx="17">
                  <c:v>48.79</c:v>
                </c:pt>
                <c:pt idx="18">
                  <c:v>48.103999999999999</c:v>
                </c:pt>
                <c:pt idx="19">
                  <c:v>48.012999999999998</c:v>
                </c:pt>
                <c:pt idx="20">
                  <c:v>47.966999999999999</c:v>
                </c:pt>
                <c:pt idx="21">
                  <c:v>49.658000000000001</c:v>
                </c:pt>
                <c:pt idx="22">
                  <c:v>51.164999999999999</c:v>
                </c:pt>
                <c:pt idx="23">
                  <c:v>51.393999999999998</c:v>
                </c:pt>
                <c:pt idx="24">
                  <c:v>52.901000000000003</c:v>
                </c:pt>
                <c:pt idx="25">
                  <c:v>51.439</c:v>
                </c:pt>
                <c:pt idx="26">
                  <c:v>51.484999999999999</c:v>
                </c:pt>
                <c:pt idx="27">
                  <c:v>50.48</c:v>
                </c:pt>
                <c:pt idx="28">
                  <c:v>49.886000000000003</c:v>
                </c:pt>
                <c:pt idx="29">
                  <c:v>50.8</c:v>
                </c:pt>
                <c:pt idx="30">
                  <c:v>49.795000000000002</c:v>
                </c:pt>
                <c:pt idx="31">
                  <c:v>50.069000000000003</c:v>
                </c:pt>
                <c:pt idx="32">
                  <c:v>51.073999999999998</c:v>
                </c:pt>
                <c:pt idx="33">
                  <c:v>50.526000000000003</c:v>
                </c:pt>
                <c:pt idx="34">
                  <c:v>50.16</c:v>
                </c:pt>
                <c:pt idx="35">
                  <c:v>49.338000000000001</c:v>
                </c:pt>
                <c:pt idx="36">
                  <c:v>48.561</c:v>
                </c:pt>
                <c:pt idx="37">
                  <c:v>48.241</c:v>
                </c:pt>
                <c:pt idx="38">
                  <c:v>48.561</c:v>
                </c:pt>
                <c:pt idx="39">
                  <c:v>47.738999999999997</c:v>
                </c:pt>
                <c:pt idx="40">
                  <c:v>48.286999999999999</c:v>
                </c:pt>
                <c:pt idx="41">
                  <c:v>47.555999999999997</c:v>
                </c:pt>
                <c:pt idx="42">
                  <c:v>47.145000000000003</c:v>
                </c:pt>
                <c:pt idx="43">
                  <c:v>46.734000000000002</c:v>
                </c:pt>
                <c:pt idx="44">
                  <c:v>46.597000000000001</c:v>
                </c:pt>
                <c:pt idx="45">
                  <c:v>47.281999999999996</c:v>
                </c:pt>
                <c:pt idx="46">
                  <c:v>47.098999999999997</c:v>
                </c:pt>
                <c:pt idx="47">
                  <c:v>46.186</c:v>
                </c:pt>
                <c:pt idx="48">
                  <c:v>44.13</c:v>
                </c:pt>
                <c:pt idx="49">
                  <c:v>45.866</c:v>
                </c:pt>
                <c:pt idx="50">
                  <c:v>47.054000000000002</c:v>
                </c:pt>
                <c:pt idx="51">
                  <c:v>48.332999999999998</c:v>
                </c:pt>
                <c:pt idx="52">
                  <c:v>48.47</c:v>
                </c:pt>
                <c:pt idx="53">
                  <c:v>49.429000000000002</c:v>
                </c:pt>
                <c:pt idx="54">
                  <c:v>49.658000000000001</c:v>
                </c:pt>
                <c:pt idx="55">
                  <c:v>51.164999999999999</c:v>
                </c:pt>
                <c:pt idx="56">
                  <c:v>50.296999999999997</c:v>
                </c:pt>
                <c:pt idx="57">
                  <c:v>50.526000000000003</c:v>
                </c:pt>
                <c:pt idx="58">
                  <c:v>50.526000000000003</c:v>
                </c:pt>
                <c:pt idx="59">
                  <c:v>49.886000000000003</c:v>
                </c:pt>
                <c:pt idx="60">
                  <c:v>49.475000000000001</c:v>
                </c:pt>
                <c:pt idx="61">
                  <c:v>49.795000000000002</c:v>
                </c:pt>
                <c:pt idx="62">
                  <c:v>50.16</c:v>
                </c:pt>
                <c:pt idx="63">
                  <c:v>50.570999999999998</c:v>
                </c:pt>
                <c:pt idx="64">
                  <c:v>50.526000000000003</c:v>
                </c:pt>
                <c:pt idx="65">
                  <c:v>50.662999999999997</c:v>
                </c:pt>
                <c:pt idx="66">
                  <c:v>49.886000000000003</c:v>
                </c:pt>
                <c:pt idx="67">
                  <c:v>49.932000000000002</c:v>
                </c:pt>
                <c:pt idx="68">
                  <c:v>50.707999999999998</c:v>
                </c:pt>
                <c:pt idx="69">
                  <c:v>50.570999999999998</c:v>
                </c:pt>
                <c:pt idx="70">
                  <c:v>50.616999999999997</c:v>
                </c:pt>
                <c:pt idx="71">
                  <c:v>50.250999999999998</c:v>
                </c:pt>
                <c:pt idx="72">
                  <c:v>49.566000000000003</c:v>
                </c:pt>
                <c:pt idx="73">
                  <c:v>49.475000000000001</c:v>
                </c:pt>
                <c:pt idx="74">
                  <c:v>47.784999999999997</c:v>
                </c:pt>
                <c:pt idx="75">
                  <c:v>47.418999999999997</c:v>
                </c:pt>
                <c:pt idx="76">
                  <c:v>47.191000000000003</c:v>
                </c:pt>
                <c:pt idx="77">
                  <c:v>47.692999999999998</c:v>
                </c:pt>
                <c:pt idx="78">
                  <c:v>47.875999999999998</c:v>
                </c:pt>
                <c:pt idx="79">
                  <c:v>47.51</c:v>
                </c:pt>
                <c:pt idx="80">
                  <c:v>47.235999999999997</c:v>
                </c:pt>
                <c:pt idx="81">
                  <c:v>47.054000000000002</c:v>
                </c:pt>
                <c:pt idx="82">
                  <c:v>46.825000000000003</c:v>
                </c:pt>
                <c:pt idx="83">
                  <c:v>46.597000000000001</c:v>
                </c:pt>
                <c:pt idx="84">
                  <c:v>46.643000000000001</c:v>
                </c:pt>
                <c:pt idx="85">
                  <c:v>45.866</c:v>
                </c:pt>
                <c:pt idx="86">
                  <c:v>46.688000000000002</c:v>
                </c:pt>
                <c:pt idx="87">
                  <c:v>46.917000000000002</c:v>
                </c:pt>
                <c:pt idx="88">
                  <c:v>47.054000000000002</c:v>
                </c:pt>
                <c:pt idx="89">
                  <c:v>48.058999999999997</c:v>
                </c:pt>
                <c:pt idx="90">
                  <c:v>47.555999999999997</c:v>
                </c:pt>
                <c:pt idx="91">
                  <c:v>47.921999999999997</c:v>
                </c:pt>
                <c:pt idx="92">
                  <c:v>47.966999999999999</c:v>
                </c:pt>
                <c:pt idx="93">
                  <c:v>48.332999999999998</c:v>
                </c:pt>
                <c:pt idx="94">
                  <c:v>48.84</c:v>
                </c:pt>
                <c:pt idx="95">
                  <c:v>48.122</c:v>
                </c:pt>
                <c:pt idx="96">
                  <c:v>48.457000000000001</c:v>
                </c:pt>
                <c:pt idx="97">
                  <c:v>48.505000000000003</c:v>
                </c:pt>
                <c:pt idx="98">
                  <c:v>48.505000000000003</c:v>
                </c:pt>
                <c:pt idx="99">
                  <c:v>48.314</c:v>
                </c:pt>
                <c:pt idx="100">
                  <c:v>48.457000000000001</c:v>
                </c:pt>
                <c:pt idx="101">
                  <c:v>48.408999999999999</c:v>
                </c:pt>
                <c:pt idx="102">
                  <c:v>48.073999999999998</c:v>
                </c:pt>
                <c:pt idx="103">
                  <c:v>48.026000000000003</c:v>
                </c:pt>
                <c:pt idx="104">
                  <c:v>48.073999999999998</c:v>
                </c:pt>
                <c:pt idx="105">
                  <c:v>47.883000000000003</c:v>
                </c:pt>
                <c:pt idx="106">
                  <c:v>47.356000000000002</c:v>
                </c:pt>
                <c:pt idx="107">
                  <c:v>47.26</c:v>
                </c:pt>
                <c:pt idx="108">
                  <c:v>47.738999999999997</c:v>
                </c:pt>
                <c:pt idx="109">
                  <c:v>47.164000000000001</c:v>
                </c:pt>
                <c:pt idx="110">
                  <c:v>47.691000000000003</c:v>
                </c:pt>
                <c:pt idx="111">
                  <c:v>47.356000000000002</c:v>
                </c:pt>
                <c:pt idx="112">
                  <c:v>47.643000000000001</c:v>
                </c:pt>
                <c:pt idx="113">
                  <c:v>47.212000000000003</c:v>
                </c:pt>
                <c:pt idx="114">
                  <c:v>46.972999999999999</c:v>
                </c:pt>
                <c:pt idx="115">
                  <c:v>46.732999999999997</c:v>
                </c:pt>
                <c:pt idx="116">
                  <c:v>46.780999999999999</c:v>
                </c:pt>
                <c:pt idx="117">
                  <c:v>46.877000000000002</c:v>
                </c:pt>
                <c:pt idx="118">
                  <c:v>46.829000000000001</c:v>
                </c:pt>
                <c:pt idx="119">
                  <c:v>46.924999999999997</c:v>
                </c:pt>
                <c:pt idx="120">
                  <c:v>46.829000000000001</c:v>
                </c:pt>
                <c:pt idx="121">
                  <c:v>46.829000000000001</c:v>
                </c:pt>
                <c:pt idx="122">
                  <c:v>46.780999999999999</c:v>
                </c:pt>
                <c:pt idx="123">
                  <c:v>46.972999999999999</c:v>
                </c:pt>
                <c:pt idx="124">
                  <c:v>46.829000000000001</c:v>
                </c:pt>
                <c:pt idx="125">
                  <c:v>47.116</c:v>
                </c:pt>
                <c:pt idx="126">
                  <c:v>47.451999999999998</c:v>
                </c:pt>
                <c:pt idx="127">
                  <c:v>47.451999999999998</c:v>
                </c:pt>
                <c:pt idx="128">
                  <c:v>47.164000000000001</c:v>
                </c:pt>
                <c:pt idx="129">
                  <c:v>46.877000000000002</c:v>
                </c:pt>
                <c:pt idx="130">
                  <c:v>47.786999999999999</c:v>
                </c:pt>
                <c:pt idx="131">
                  <c:v>48.026000000000003</c:v>
                </c:pt>
                <c:pt idx="132">
                  <c:v>48.360999999999997</c:v>
                </c:pt>
                <c:pt idx="133">
                  <c:v>47.93</c:v>
                </c:pt>
                <c:pt idx="134">
                  <c:v>47.786999999999999</c:v>
                </c:pt>
                <c:pt idx="135">
                  <c:v>47.691000000000003</c:v>
                </c:pt>
                <c:pt idx="136">
                  <c:v>47.738999999999997</c:v>
                </c:pt>
                <c:pt idx="137">
                  <c:v>47.5</c:v>
                </c:pt>
                <c:pt idx="138">
                  <c:v>47.164000000000001</c:v>
                </c:pt>
                <c:pt idx="139">
                  <c:v>47.546999999999997</c:v>
                </c:pt>
                <c:pt idx="140">
                  <c:v>47.835000000000001</c:v>
                </c:pt>
                <c:pt idx="141">
                  <c:v>47.116</c:v>
                </c:pt>
                <c:pt idx="142">
                  <c:v>47.164000000000001</c:v>
                </c:pt>
                <c:pt idx="143">
                  <c:v>48.265999999999998</c:v>
                </c:pt>
                <c:pt idx="144">
                  <c:v>48.697000000000003</c:v>
                </c:pt>
                <c:pt idx="145">
                  <c:v>48.744</c:v>
                </c:pt>
                <c:pt idx="146">
                  <c:v>49.031999999999996</c:v>
                </c:pt>
                <c:pt idx="147">
                  <c:v>49.606000000000002</c:v>
                </c:pt>
                <c:pt idx="148">
                  <c:v>49.558</c:v>
                </c:pt>
                <c:pt idx="149">
                  <c:v>50.277000000000001</c:v>
                </c:pt>
                <c:pt idx="150">
                  <c:v>50.180999999999997</c:v>
                </c:pt>
                <c:pt idx="151">
                  <c:v>49.798000000000002</c:v>
                </c:pt>
                <c:pt idx="152">
                  <c:v>50.277000000000001</c:v>
                </c:pt>
                <c:pt idx="153">
                  <c:v>50.036999999999999</c:v>
                </c:pt>
                <c:pt idx="154">
                  <c:v>50.372</c:v>
                </c:pt>
                <c:pt idx="155">
                  <c:v>50.66</c:v>
                </c:pt>
                <c:pt idx="156">
                  <c:v>50.228999999999999</c:v>
                </c:pt>
                <c:pt idx="157">
                  <c:v>49.893999999999998</c:v>
                </c:pt>
                <c:pt idx="158">
                  <c:v>50.228999999999999</c:v>
                </c:pt>
                <c:pt idx="159">
                  <c:v>50.372</c:v>
                </c:pt>
                <c:pt idx="160">
                  <c:v>50.228999999999999</c:v>
                </c:pt>
                <c:pt idx="161">
                  <c:v>50.277000000000001</c:v>
                </c:pt>
                <c:pt idx="162">
                  <c:v>50.372</c:v>
                </c:pt>
                <c:pt idx="163">
                  <c:v>49.893999999999998</c:v>
                </c:pt>
                <c:pt idx="164">
                  <c:v>49.654000000000003</c:v>
                </c:pt>
                <c:pt idx="165">
                  <c:v>49.75</c:v>
                </c:pt>
                <c:pt idx="166">
                  <c:v>49.95</c:v>
                </c:pt>
                <c:pt idx="167">
                  <c:v>49.9</c:v>
                </c:pt>
                <c:pt idx="168">
                  <c:v>50</c:v>
                </c:pt>
                <c:pt idx="169">
                  <c:v>51.3</c:v>
                </c:pt>
                <c:pt idx="170">
                  <c:v>52</c:v>
                </c:pt>
                <c:pt idx="171">
                  <c:v>51.65</c:v>
                </c:pt>
                <c:pt idx="172">
                  <c:v>51.55</c:v>
                </c:pt>
                <c:pt idx="173">
                  <c:v>51.5</c:v>
                </c:pt>
                <c:pt idx="174">
                  <c:v>51.45</c:v>
                </c:pt>
                <c:pt idx="175">
                  <c:v>51.3</c:v>
                </c:pt>
                <c:pt idx="176">
                  <c:v>50.95</c:v>
                </c:pt>
                <c:pt idx="177">
                  <c:v>51.1</c:v>
                </c:pt>
                <c:pt idx="178">
                  <c:v>51.8</c:v>
                </c:pt>
                <c:pt idx="179">
                  <c:v>51.45</c:v>
                </c:pt>
                <c:pt idx="180">
                  <c:v>51.2</c:v>
                </c:pt>
                <c:pt idx="181">
                  <c:v>50.1</c:v>
                </c:pt>
                <c:pt idx="182">
                  <c:v>49.9</c:v>
                </c:pt>
                <c:pt idx="183">
                  <c:v>49.9</c:v>
                </c:pt>
                <c:pt idx="184">
                  <c:v>49.5</c:v>
                </c:pt>
                <c:pt idx="185">
                  <c:v>50.5</c:v>
                </c:pt>
                <c:pt idx="186">
                  <c:v>50.6</c:v>
                </c:pt>
                <c:pt idx="187">
                  <c:v>50.4</c:v>
                </c:pt>
                <c:pt idx="188">
                  <c:v>50.25</c:v>
                </c:pt>
                <c:pt idx="189">
                  <c:v>49.95</c:v>
                </c:pt>
                <c:pt idx="190">
                  <c:v>50.1</c:v>
                </c:pt>
                <c:pt idx="191">
                  <c:v>50.05</c:v>
                </c:pt>
                <c:pt idx="192">
                  <c:v>50.05</c:v>
                </c:pt>
                <c:pt idx="193">
                  <c:v>50.2</c:v>
                </c:pt>
                <c:pt idx="194">
                  <c:v>50.15</c:v>
                </c:pt>
                <c:pt idx="195">
                  <c:v>50.05</c:v>
                </c:pt>
                <c:pt idx="196">
                  <c:v>50.1</c:v>
                </c:pt>
                <c:pt idx="197">
                  <c:v>49.65</c:v>
                </c:pt>
                <c:pt idx="198">
                  <c:v>48.7</c:v>
                </c:pt>
                <c:pt idx="199">
                  <c:v>48.5</c:v>
                </c:pt>
                <c:pt idx="200">
                  <c:v>48.55</c:v>
                </c:pt>
                <c:pt idx="201">
                  <c:v>48.8</c:v>
                </c:pt>
                <c:pt idx="202">
                  <c:v>48.15</c:v>
                </c:pt>
                <c:pt idx="203">
                  <c:v>47.25</c:v>
                </c:pt>
                <c:pt idx="204">
                  <c:v>47.4</c:v>
                </c:pt>
                <c:pt idx="205">
                  <c:v>48.1</c:v>
                </c:pt>
                <c:pt idx="206">
                  <c:v>47.65</c:v>
                </c:pt>
                <c:pt idx="207">
                  <c:v>48.05</c:v>
                </c:pt>
                <c:pt idx="208">
                  <c:v>48.15</c:v>
                </c:pt>
                <c:pt idx="209">
                  <c:v>48.35</c:v>
                </c:pt>
                <c:pt idx="210">
                  <c:v>48.35</c:v>
                </c:pt>
                <c:pt idx="211">
                  <c:v>48.3</c:v>
                </c:pt>
                <c:pt idx="212">
                  <c:v>49.2</c:v>
                </c:pt>
                <c:pt idx="213">
                  <c:v>48.95</c:v>
                </c:pt>
                <c:pt idx="214">
                  <c:v>49.3</c:v>
                </c:pt>
                <c:pt idx="215">
                  <c:v>49.5</c:v>
                </c:pt>
                <c:pt idx="216">
                  <c:v>49.85</c:v>
                </c:pt>
                <c:pt idx="217">
                  <c:v>49.75</c:v>
                </c:pt>
                <c:pt idx="218">
                  <c:v>50</c:v>
                </c:pt>
                <c:pt idx="219">
                  <c:v>50.9</c:v>
                </c:pt>
                <c:pt idx="220">
                  <c:v>51.1</c:v>
                </c:pt>
                <c:pt idx="221">
                  <c:v>51.2</c:v>
                </c:pt>
                <c:pt idx="222">
                  <c:v>51.85</c:v>
                </c:pt>
                <c:pt idx="223">
                  <c:v>51.6</c:v>
                </c:pt>
                <c:pt idx="224">
                  <c:v>51.5</c:v>
                </c:pt>
                <c:pt idx="225">
                  <c:v>51.75</c:v>
                </c:pt>
                <c:pt idx="226">
                  <c:v>51.5</c:v>
                </c:pt>
                <c:pt idx="227">
                  <c:v>51.35</c:v>
                </c:pt>
                <c:pt idx="228">
                  <c:v>53</c:v>
                </c:pt>
                <c:pt idx="229">
                  <c:v>52.75</c:v>
                </c:pt>
                <c:pt idx="230">
                  <c:v>51.65</c:v>
                </c:pt>
                <c:pt idx="231">
                  <c:v>51.4</c:v>
                </c:pt>
                <c:pt idx="232">
                  <c:v>51.65</c:v>
                </c:pt>
                <c:pt idx="233">
                  <c:v>51.35</c:v>
                </c:pt>
                <c:pt idx="234">
                  <c:v>51.45</c:v>
                </c:pt>
                <c:pt idx="235">
                  <c:v>51.4</c:v>
                </c:pt>
                <c:pt idx="236">
                  <c:v>51.3</c:v>
                </c:pt>
                <c:pt idx="237">
                  <c:v>51.55</c:v>
                </c:pt>
                <c:pt idx="238">
                  <c:v>51.2</c:v>
                </c:pt>
                <c:pt idx="239">
                  <c:v>50.9</c:v>
                </c:pt>
                <c:pt idx="240">
                  <c:v>51.3</c:v>
                </c:pt>
                <c:pt idx="241">
                  <c:v>52</c:v>
                </c:pt>
                <c:pt idx="242">
                  <c:v>51.9</c:v>
                </c:pt>
                <c:pt idx="243">
                  <c:v>52.05</c:v>
                </c:pt>
                <c:pt idx="244">
                  <c:v>51.15</c:v>
                </c:pt>
                <c:pt idx="245">
                  <c:v>51.75</c:v>
                </c:pt>
                <c:pt idx="246">
                  <c:v>52.5</c:v>
                </c:pt>
                <c:pt idx="247">
                  <c:v>53.55</c:v>
                </c:pt>
                <c:pt idx="248">
                  <c:v>53.7</c:v>
                </c:pt>
                <c:pt idx="249">
                  <c:v>53.25</c:v>
                </c:pt>
                <c:pt idx="250">
                  <c:v>53.2</c:v>
                </c:pt>
                <c:pt idx="251">
                  <c:v>53.2</c:v>
                </c:pt>
                <c:pt idx="252">
                  <c:v>53.8</c:v>
                </c:pt>
                <c:pt idx="253">
                  <c:v>54.75</c:v>
                </c:pt>
                <c:pt idx="254">
                  <c:v>55.5</c:v>
                </c:pt>
                <c:pt idx="255">
                  <c:v>55.1</c:v>
                </c:pt>
                <c:pt idx="256">
                  <c:v>54.9</c:v>
                </c:pt>
                <c:pt idx="257">
                  <c:v>55.15</c:v>
                </c:pt>
                <c:pt idx="258">
                  <c:v>55.1</c:v>
                </c:pt>
                <c:pt idx="259">
                  <c:v>55.9</c:v>
                </c:pt>
                <c:pt idx="260">
                  <c:v>56.55</c:v>
                </c:pt>
                <c:pt idx="261">
                  <c:v>56.7</c:v>
                </c:pt>
                <c:pt idx="262">
                  <c:v>56.5</c:v>
                </c:pt>
                <c:pt idx="263">
                  <c:v>56.2</c:v>
                </c:pt>
                <c:pt idx="264">
                  <c:v>56.8</c:v>
                </c:pt>
                <c:pt idx="265">
                  <c:v>56.8</c:v>
                </c:pt>
                <c:pt idx="266">
                  <c:v>56.75</c:v>
                </c:pt>
                <c:pt idx="267">
                  <c:v>56.6</c:v>
                </c:pt>
                <c:pt idx="268">
                  <c:v>56.3</c:v>
                </c:pt>
                <c:pt idx="269">
                  <c:v>56.15</c:v>
                </c:pt>
                <c:pt idx="270">
                  <c:v>56.6</c:v>
                </c:pt>
                <c:pt idx="271">
                  <c:v>56.95</c:v>
                </c:pt>
                <c:pt idx="272">
                  <c:v>57</c:v>
                </c:pt>
                <c:pt idx="273">
                  <c:v>56.8</c:v>
                </c:pt>
                <c:pt idx="274">
                  <c:v>56.6</c:v>
                </c:pt>
                <c:pt idx="275">
                  <c:v>57.75</c:v>
                </c:pt>
                <c:pt idx="276">
                  <c:v>57.35</c:v>
                </c:pt>
                <c:pt idx="277">
                  <c:v>59.1</c:v>
                </c:pt>
                <c:pt idx="278">
                  <c:v>58.9</c:v>
                </c:pt>
                <c:pt idx="279">
                  <c:v>58.35</c:v>
                </c:pt>
                <c:pt idx="280">
                  <c:v>58.6</c:v>
                </c:pt>
                <c:pt idx="281">
                  <c:v>57.95</c:v>
                </c:pt>
                <c:pt idx="282">
                  <c:v>57.3</c:v>
                </c:pt>
                <c:pt idx="283">
                  <c:v>58.8</c:v>
                </c:pt>
                <c:pt idx="284">
                  <c:v>60.6</c:v>
                </c:pt>
                <c:pt idx="285">
                  <c:v>61</c:v>
                </c:pt>
                <c:pt idx="286">
                  <c:v>62</c:v>
                </c:pt>
                <c:pt idx="287">
                  <c:v>64</c:v>
                </c:pt>
                <c:pt idx="288">
                  <c:v>62.25</c:v>
                </c:pt>
                <c:pt idx="289">
                  <c:v>62</c:v>
                </c:pt>
                <c:pt idx="290">
                  <c:v>63.9</c:v>
                </c:pt>
                <c:pt idx="291">
                  <c:v>62</c:v>
                </c:pt>
                <c:pt idx="292">
                  <c:v>64.849999999999994</c:v>
                </c:pt>
                <c:pt idx="293">
                  <c:v>63.7</c:v>
                </c:pt>
                <c:pt idx="294">
                  <c:v>64.7</c:v>
                </c:pt>
                <c:pt idx="295">
                  <c:v>64.45</c:v>
                </c:pt>
                <c:pt idx="296">
                  <c:v>65.95</c:v>
                </c:pt>
                <c:pt idx="297">
                  <c:v>63.6</c:v>
                </c:pt>
                <c:pt idx="298">
                  <c:v>62.7</c:v>
                </c:pt>
              </c:numCache>
            </c:numRef>
          </c:val>
          <c:smooth val="0"/>
          <c:extLst>
            <c:ext xmlns:c16="http://schemas.microsoft.com/office/drawing/2014/chart" uri="{C3380CC4-5D6E-409C-BE32-E72D297353CC}">
              <c16:uniqueId val="{00000000-CEB7-4BC5-A6D4-45FF935A1E84}"/>
            </c:ext>
          </c:extLst>
        </c:ser>
        <c:dLbls>
          <c:showLegendKey val="0"/>
          <c:showVal val="0"/>
          <c:showCatName val="0"/>
          <c:showSerName val="0"/>
          <c:showPercent val="0"/>
          <c:showBubbleSize val="0"/>
        </c:dLbls>
        <c:smooth val="0"/>
        <c:axId val="829524991"/>
        <c:axId val="826488703"/>
      </c:lineChart>
      <c:dateAx>
        <c:axId val="829524991"/>
        <c:scaling>
          <c:orientation val="minMax"/>
        </c:scaling>
        <c:delete val="0"/>
        <c:axPos val="b"/>
        <c:numFmt formatCode="yyyy\-mm\-d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endParaRPr lang="en-US"/>
          </a:p>
        </c:txPr>
        <c:crossAx val="826488703"/>
        <c:crosses val="autoZero"/>
        <c:auto val="1"/>
        <c:lblOffset val="100"/>
        <c:baseTimeUnit val="days"/>
        <c:majorUnit val="5"/>
        <c:majorTimeUnit val="months"/>
      </c:dateAx>
      <c:valAx>
        <c:axId val="826488703"/>
        <c:scaling>
          <c:orientation val="minMax"/>
          <c:max val="65"/>
          <c:min val="42"/>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mn-lt"/>
                <a:ea typeface="+mn-ea"/>
                <a:cs typeface="+mn-cs"/>
              </a:defRPr>
            </a:pPr>
            <a:endParaRPr lang="en-US"/>
          </a:p>
        </c:txPr>
        <c:crossAx val="829524991"/>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628677662793153"/>
          <c:y val="6.2482249360976995E-2"/>
          <c:w val="0.74379508039303965"/>
          <c:h val="0.72792517177391047"/>
        </c:manualLayout>
      </c:layout>
      <c:barChart>
        <c:barDir val="col"/>
        <c:grouping val="clustered"/>
        <c:varyColors val="0"/>
        <c:ser>
          <c:idx val="0"/>
          <c:order val="0"/>
          <c:tx>
            <c:strRef>
              <c:f>图表!$B$4</c:f>
              <c:strCache>
                <c:ptCount val="1"/>
                <c:pt idx="0">
                  <c:v>营业收入</c:v>
                </c:pt>
              </c:strCache>
            </c:strRef>
          </c:tx>
          <c:spPr>
            <a:solidFill>
              <a:schemeClr val="accent1"/>
            </a:solidFill>
            <a:ln>
              <a:noFill/>
            </a:ln>
            <a:effectLst/>
          </c:spPr>
          <c:invertIfNegative val="0"/>
          <c:cat>
            <c:numRef>
              <c:f>图表!$C$3:$G$3</c:f>
              <c:numCache>
                <c:formatCode>General</c:formatCode>
                <c:ptCount val="5"/>
                <c:pt idx="0">
                  <c:v>2018</c:v>
                </c:pt>
                <c:pt idx="1">
                  <c:v>2019</c:v>
                </c:pt>
                <c:pt idx="2">
                  <c:v>2020</c:v>
                </c:pt>
                <c:pt idx="3">
                  <c:v>2021</c:v>
                </c:pt>
                <c:pt idx="4">
                  <c:v>2022</c:v>
                </c:pt>
              </c:numCache>
            </c:numRef>
          </c:cat>
          <c:val>
            <c:numRef>
              <c:f>图表!$C$4:$G$4</c:f>
              <c:numCache>
                <c:formatCode>General</c:formatCode>
                <c:ptCount val="5"/>
                <c:pt idx="0">
                  <c:v>736819</c:v>
                </c:pt>
                <c:pt idx="1">
                  <c:v>745917</c:v>
                </c:pt>
                <c:pt idx="2">
                  <c:v>768070</c:v>
                </c:pt>
                <c:pt idx="3">
                  <c:v>848258</c:v>
                </c:pt>
                <c:pt idx="4">
                  <c:v>937259</c:v>
                </c:pt>
              </c:numCache>
            </c:numRef>
          </c:val>
          <c:extLst>
            <c:ext xmlns:c16="http://schemas.microsoft.com/office/drawing/2014/chart" uri="{C3380CC4-5D6E-409C-BE32-E72D297353CC}">
              <c16:uniqueId val="{00000000-D4B3-4DD6-8925-57FFA763E508}"/>
            </c:ext>
          </c:extLst>
        </c:ser>
        <c:dLbls>
          <c:showLegendKey val="0"/>
          <c:showVal val="0"/>
          <c:showCatName val="0"/>
          <c:showSerName val="0"/>
          <c:showPercent val="0"/>
          <c:showBubbleSize val="0"/>
        </c:dLbls>
        <c:gapWidth val="219"/>
        <c:axId val="1436931503"/>
        <c:axId val="1436932335"/>
      </c:barChart>
      <c:lineChart>
        <c:grouping val="standard"/>
        <c:varyColors val="0"/>
        <c:ser>
          <c:idx val="1"/>
          <c:order val="1"/>
          <c:tx>
            <c:strRef>
              <c:f>图表!$B$5</c:f>
              <c:strCache>
                <c:ptCount val="1"/>
                <c:pt idx="0">
                  <c:v>同比增速</c:v>
                </c:pt>
              </c:strCache>
            </c:strRef>
          </c:tx>
          <c:spPr>
            <a:ln w="28575" cap="rnd">
              <a:solidFill>
                <a:schemeClr val="accent2"/>
              </a:solidFill>
              <a:round/>
            </a:ln>
            <a:effectLst/>
          </c:spPr>
          <c:marker>
            <c:symbol val="none"/>
          </c:marker>
          <c:cat>
            <c:numRef>
              <c:f>图表!$C$3:$G$3</c:f>
              <c:numCache>
                <c:formatCode>General</c:formatCode>
                <c:ptCount val="5"/>
                <c:pt idx="0">
                  <c:v>2018</c:v>
                </c:pt>
                <c:pt idx="1">
                  <c:v>2019</c:v>
                </c:pt>
                <c:pt idx="2">
                  <c:v>2020</c:v>
                </c:pt>
                <c:pt idx="3">
                  <c:v>2021</c:v>
                </c:pt>
                <c:pt idx="4">
                  <c:v>2022</c:v>
                </c:pt>
              </c:numCache>
            </c:numRef>
          </c:cat>
          <c:val>
            <c:numRef>
              <c:f>图表!$C$5:$G$5</c:f>
              <c:numCache>
                <c:formatCode>0.00%</c:formatCode>
                <c:ptCount val="5"/>
                <c:pt idx="0">
                  <c:v>-4.4000000000000003E-3</c:v>
                </c:pt>
                <c:pt idx="1">
                  <c:v>1.4200000000000001E-2</c:v>
                </c:pt>
                <c:pt idx="2">
                  <c:v>2.9000000000000001E-2</c:v>
                </c:pt>
                <c:pt idx="3">
                  <c:v>0.10440194253127966</c:v>
                </c:pt>
                <c:pt idx="4">
                  <c:v>0.10492208738379127</c:v>
                </c:pt>
              </c:numCache>
            </c:numRef>
          </c:val>
          <c:smooth val="0"/>
          <c:extLst>
            <c:ext xmlns:c16="http://schemas.microsoft.com/office/drawing/2014/chart" uri="{C3380CC4-5D6E-409C-BE32-E72D297353CC}">
              <c16:uniqueId val="{00000001-D4B3-4DD6-8925-57FFA763E508}"/>
            </c:ext>
          </c:extLst>
        </c:ser>
        <c:dLbls>
          <c:showLegendKey val="0"/>
          <c:showVal val="0"/>
          <c:showCatName val="0"/>
          <c:showSerName val="0"/>
          <c:showPercent val="0"/>
          <c:showBubbleSize val="0"/>
        </c:dLbls>
        <c:marker val="1"/>
        <c:smooth val="0"/>
        <c:axId val="1683330415"/>
        <c:axId val="1683329999"/>
      </c:lineChart>
      <c:catAx>
        <c:axId val="14369315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36932335"/>
        <c:crosses val="autoZero"/>
        <c:auto val="1"/>
        <c:lblAlgn val="ctr"/>
        <c:lblOffset val="100"/>
        <c:noMultiLvlLbl val="0"/>
      </c:catAx>
      <c:valAx>
        <c:axId val="1436932335"/>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36931503"/>
        <c:crosses val="autoZero"/>
        <c:crossBetween val="between"/>
      </c:valAx>
      <c:valAx>
        <c:axId val="1683329999"/>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83330415"/>
        <c:crosses val="max"/>
        <c:crossBetween val="between"/>
      </c:valAx>
      <c:catAx>
        <c:axId val="1683330415"/>
        <c:scaling>
          <c:orientation val="minMax"/>
        </c:scaling>
        <c:delete val="1"/>
        <c:axPos val="b"/>
        <c:numFmt formatCode="General" sourceLinked="1"/>
        <c:majorTickMark val="out"/>
        <c:minorTickMark val="none"/>
        <c:tickLblPos val="nextTo"/>
        <c:crossAx val="1683329999"/>
        <c:crosses val="autoZero"/>
        <c:auto val="1"/>
        <c:lblAlgn val="ctr"/>
        <c:lblOffset val="100"/>
        <c:noMultiLvlLbl val="0"/>
      </c:catAx>
      <c:spPr>
        <a:noFill/>
        <a:ln>
          <a:noFill/>
        </a:ln>
        <a:effectLst/>
      </c:spPr>
    </c:plotArea>
    <c:legend>
      <c:legendPos val="b"/>
      <c:layout>
        <c:manualLayout>
          <c:xMode val="edge"/>
          <c:yMode val="edge"/>
          <c:x val="0.22331067572970811"/>
          <c:y val="0.88611857073164058"/>
          <c:w val="0.53738504598160741"/>
          <c:h val="9.0719877444387198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69182774747299"/>
          <c:y val="6.4177362893815634E-2"/>
          <c:w val="0.73722531545481496"/>
          <c:h val="0.72728641704844044"/>
        </c:manualLayout>
      </c:layout>
      <c:barChart>
        <c:barDir val="col"/>
        <c:grouping val="clustered"/>
        <c:varyColors val="0"/>
        <c:ser>
          <c:idx val="0"/>
          <c:order val="0"/>
          <c:tx>
            <c:strRef>
              <c:f>图表!$B$10</c:f>
              <c:strCache>
                <c:ptCount val="1"/>
                <c:pt idx="0">
                  <c:v>净利润</c:v>
                </c:pt>
              </c:strCache>
            </c:strRef>
          </c:tx>
          <c:spPr>
            <a:solidFill>
              <a:schemeClr val="accent1"/>
            </a:solidFill>
            <a:ln>
              <a:noFill/>
            </a:ln>
            <a:effectLst/>
          </c:spPr>
          <c:invertIfNegative val="0"/>
          <c:cat>
            <c:numRef>
              <c:f>图表!$C$9:$G$9</c:f>
              <c:numCache>
                <c:formatCode>General</c:formatCode>
                <c:ptCount val="5"/>
                <c:pt idx="0">
                  <c:v>2018</c:v>
                </c:pt>
                <c:pt idx="1">
                  <c:v>2019</c:v>
                </c:pt>
                <c:pt idx="2">
                  <c:v>2020</c:v>
                </c:pt>
                <c:pt idx="3">
                  <c:v>2021</c:v>
                </c:pt>
                <c:pt idx="4">
                  <c:v>2022</c:v>
                </c:pt>
              </c:numCache>
            </c:numRef>
          </c:cat>
          <c:val>
            <c:numRef>
              <c:f>图表!$C$10:$G$10</c:f>
              <c:numCache>
                <c:formatCode>General</c:formatCode>
                <c:ptCount val="5"/>
                <c:pt idx="0">
                  <c:v>117781</c:v>
                </c:pt>
                <c:pt idx="1">
                  <c:v>106641</c:v>
                </c:pt>
                <c:pt idx="2">
                  <c:v>107843</c:v>
                </c:pt>
                <c:pt idx="3">
                  <c:v>116148</c:v>
                </c:pt>
                <c:pt idx="4">
                  <c:v>125459</c:v>
                </c:pt>
              </c:numCache>
            </c:numRef>
          </c:val>
          <c:extLst>
            <c:ext xmlns:c16="http://schemas.microsoft.com/office/drawing/2014/chart" uri="{C3380CC4-5D6E-409C-BE32-E72D297353CC}">
              <c16:uniqueId val="{00000000-EA33-4587-A932-6EFD49903BCA}"/>
            </c:ext>
          </c:extLst>
        </c:ser>
        <c:dLbls>
          <c:showLegendKey val="0"/>
          <c:showVal val="0"/>
          <c:showCatName val="0"/>
          <c:showSerName val="0"/>
          <c:showPercent val="0"/>
          <c:showBubbleSize val="0"/>
        </c:dLbls>
        <c:gapWidth val="150"/>
        <c:axId val="1462725535"/>
        <c:axId val="1462723871"/>
      </c:barChart>
      <c:lineChart>
        <c:grouping val="standard"/>
        <c:varyColors val="0"/>
        <c:ser>
          <c:idx val="1"/>
          <c:order val="1"/>
          <c:tx>
            <c:strRef>
              <c:f>图表!$B$11</c:f>
              <c:strCache>
                <c:ptCount val="1"/>
                <c:pt idx="0">
                  <c:v>同比增速</c:v>
                </c:pt>
              </c:strCache>
            </c:strRef>
          </c:tx>
          <c:spPr>
            <a:ln w="28575" cap="rnd">
              <a:solidFill>
                <a:schemeClr val="accent2"/>
              </a:solidFill>
              <a:round/>
            </a:ln>
            <a:effectLst/>
          </c:spPr>
          <c:marker>
            <c:symbol val="none"/>
          </c:marker>
          <c:cat>
            <c:numRef>
              <c:f>图表!$C$9:$G$9</c:f>
              <c:numCache>
                <c:formatCode>General</c:formatCode>
                <c:ptCount val="5"/>
                <c:pt idx="0">
                  <c:v>2018</c:v>
                </c:pt>
                <c:pt idx="1">
                  <c:v>2019</c:v>
                </c:pt>
                <c:pt idx="2">
                  <c:v>2020</c:v>
                </c:pt>
                <c:pt idx="3">
                  <c:v>2021</c:v>
                </c:pt>
                <c:pt idx="4">
                  <c:v>2022</c:v>
                </c:pt>
              </c:numCache>
            </c:numRef>
          </c:cat>
          <c:val>
            <c:numRef>
              <c:f>图表!$C$11:$G$11</c:f>
              <c:numCache>
                <c:formatCode>0.00%</c:formatCode>
                <c:ptCount val="5"/>
                <c:pt idx="0">
                  <c:v>3.0599999999999999E-2</c:v>
                </c:pt>
                <c:pt idx="1">
                  <c:v>-9.4582318030921764E-2</c:v>
                </c:pt>
                <c:pt idx="2">
                  <c:v>1.127146219559072E-2</c:v>
                </c:pt>
                <c:pt idx="3">
                  <c:v>7.701009801285208E-2</c:v>
                </c:pt>
                <c:pt idx="4">
                  <c:v>8.0164961945104585E-2</c:v>
                </c:pt>
              </c:numCache>
            </c:numRef>
          </c:val>
          <c:smooth val="0"/>
          <c:extLst>
            <c:ext xmlns:c16="http://schemas.microsoft.com/office/drawing/2014/chart" uri="{C3380CC4-5D6E-409C-BE32-E72D297353CC}">
              <c16:uniqueId val="{00000001-EA33-4587-A932-6EFD49903BCA}"/>
            </c:ext>
          </c:extLst>
        </c:ser>
        <c:dLbls>
          <c:showLegendKey val="0"/>
          <c:showVal val="0"/>
          <c:showCatName val="0"/>
          <c:showSerName val="0"/>
          <c:showPercent val="0"/>
          <c:showBubbleSize val="0"/>
        </c:dLbls>
        <c:marker val="1"/>
        <c:smooth val="0"/>
        <c:axId val="1679966479"/>
        <c:axId val="1683331247"/>
      </c:lineChart>
      <c:catAx>
        <c:axId val="1462725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1462723871"/>
        <c:crosses val="autoZero"/>
        <c:auto val="1"/>
        <c:lblAlgn val="ctr"/>
        <c:lblOffset val="100"/>
        <c:noMultiLvlLbl val="0"/>
      </c:catAx>
      <c:valAx>
        <c:axId val="14627238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462725535"/>
        <c:crosses val="autoZero"/>
        <c:crossBetween val="between"/>
      </c:valAx>
      <c:valAx>
        <c:axId val="1683331247"/>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679966479"/>
        <c:crosses val="max"/>
        <c:crossBetween val="between"/>
      </c:valAx>
      <c:catAx>
        <c:axId val="1679966479"/>
        <c:scaling>
          <c:orientation val="minMax"/>
        </c:scaling>
        <c:delete val="1"/>
        <c:axPos val="b"/>
        <c:numFmt formatCode="General" sourceLinked="1"/>
        <c:majorTickMark val="out"/>
        <c:minorTickMark val="none"/>
        <c:tickLblPos val="nextTo"/>
        <c:crossAx val="1683331247"/>
        <c:crosses val="autoZero"/>
        <c:auto val="1"/>
        <c:lblAlgn val="ctr"/>
        <c:lblOffset val="100"/>
        <c:noMultiLvlLbl val="0"/>
      </c:catAx>
      <c:spPr>
        <a:noFill/>
        <a:ln>
          <a:noFill/>
        </a:ln>
        <a:effectLst/>
      </c:spPr>
    </c:plotArea>
    <c:legend>
      <c:legendPos val="b"/>
      <c:layout>
        <c:manualLayout>
          <c:xMode val="edge"/>
          <c:yMode val="edge"/>
          <c:x val="0.25942392931039149"/>
          <c:y val="0.88603070141741069"/>
          <c:w val="0.49731022115959356"/>
          <c:h val="9.14079511939654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7938317611288687"/>
          <c:y val="3.9637599093997736E-2"/>
          <c:w val="0.78497325953067743"/>
          <c:h val="0.75161047253011837"/>
        </c:manualLayout>
      </c:layout>
      <c:barChart>
        <c:barDir val="col"/>
        <c:grouping val="stacked"/>
        <c:varyColors val="0"/>
        <c:ser>
          <c:idx val="0"/>
          <c:order val="0"/>
          <c:tx>
            <c:strRef>
              <c:f>中国移动!$B$11</c:f>
              <c:strCache>
                <c:ptCount val="1"/>
                <c:pt idx="0">
                  <c:v>个人市场</c:v>
                </c:pt>
              </c:strCache>
            </c:strRef>
          </c:tx>
          <c:spPr>
            <a:solidFill>
              <a:schemeClr val="accent1"/>
            </a:solidFill>
            <a:ln>
              <a:noFill/>
            </a:ln>
            <a:effectLst/>
          </c:spPr>
          <c:invertIfNegative val="0"/>
          <c:cat>
            <c:strRef>
              <c:f>中国移动!$C$10:$H$10</c:f>
              <c:strCache>
                <c:ptCount val="6"/>
                <c:pt idx="0">
                  <c:v>2020</c:v>
                </c:pt>
                <c:pt idx="1">
                  <c:v>2021</c:v>
                </c:pt>
                <c:pt idx="2">
                  <c:v>2022</c:v>
                </c:pt>
                <c:pt idx="3">
                  <c:v>2023E</c:v>
                </c:pt>
                <c:pt idx="4">
                  <c:v>2024E</c:v>
                </c:pt>
                <c:pt idx="5">
                  <c:v>2025E</c:v>
                </c:pt>
              </c:strCache>
            </c:strRef>
          </c:cat>
          <c:val>
            <c:numRef>
              <c:f>中国移动!$C$11:$H$11</c:f>
              <c:numCache>
                <c:formatCode>#,##0_);[Red]\(#,##0\)</c:formatCode>
                <c:ptCount val="6"/>
                <c:pt idx="0">
                  <c:v>476725.83826429979</c:v>
                </c:pt>
                <c:pt idx="1">
                  <c:v>483400</c:v>
                </c:pt>
                <c:pt idx="2">
                  <c:v>488800</c:v>
                </c:pt>
                <c:pt idx="3">
                  <c:v>491243.99999999994</c:v>
                </c:pt>
                <c:pt idx="4">
                  <c:v>493700.21999999991</c:v>
                </c:pt>
                <c:pt idx="5">
                  <c:v>496168.72109999985</c:v>
                </c:pt>
              </c:numCache>
            </c:numRef>
          </c:val>
          <c:extLst>
            <c:ext xmlns:c16="http://schemas.microsoft.com/office/drawing/2014/chart" uri="{C3380CC4-5D6E-409C-BE32-E72D297353CC}">
              <c16:uniqueId val="{00000000-B9CD-4453-844B-BF9980D7D823}"/>
            </c:ext>
          </c:extLst>
        </c:ser>
        <c:ser>
          <c:idx val="1"/>
          <c:order val="1"/>
          <c:tx>
            <c:strRef>
              <c:f>中国移动!$B$12</c:f>
              <c:strCache>
                <c:ptCount val="1"/>
              </c:strCache>
            </c:strRef>
          </c:tx>
          <c:spPr>
            <a:solidFill>
              <a:schemeClr val="accent2"/>
            </a:solidFill>
            <a:ln>
              <a:noFill/>
            </a:ln>
            <a:effectLst/>
          </c:spPr>
          <c:invertIfNegative val="0"/>
          <c:cat>
            <c:strRef>
              <c:f>中国移动!$C$10:$H$10</c:f>
              <c:strCache>
                <c:ptCount val="6"/>
                <c:pt idx="0">
                  <c:v>2020</c:v>
                </c:pt>
                <c:pt idx="1">
                  <c:v>2021</c:v>
                </c:pt>
                <c:pt idx="2">
                  <c:v>2022</c:v>
                </c:pt>
                <c:pt idx="3">
                  <c:v>2023E</c:v>
                </c:pt>
                <c:pt idx="4">
                  <c:v>2024E</c:v>
                </c:pt>
                <c:pt idx="5">
                  <c:v>2025E</c:v>
                </c:pt>
              </c:strCache>
            </c:strRef>
          </c:cat>
          <c:val>
            <c:numRef>
              <c:f>中国移动!$C$12:$H$12</c:f>
              <c:numCache>
                <c:formatCode>0%</c:formatCode>
                <c:ptCount val="6"/>
                <c:pt idx="1">
                  <c:v>1.4000000000000012E-2</c:v>
                </c:pt>
                <c:pt idx="2">
                  <c:v>1.1170872983036872E-2</c:v>
                </c:pt>
                <c:pt idx="3">
                  <c:v>4.9999999999998934E-3</c:v>
                </c:pt>
                <c:pt idx="4">
                  <c:v>4.9999999999998934E-3</c:v>
                </c:pt>
                <c:pt idx="5">
                  <c:v>4.9999999999998934E-3</c:v>
                </c:pt>
              </c:numCache>
            </c:numRef>
          </c:val>
          <c:extLst>
            <c:ext xmlns:c16="http://schemas.microsoft.com/office/drawing/2014/chart" uri="{C3380CC4-5D6E-409C-BE32-E72D297353CC}">
              <c16:uniqueId val="{00000001-B9CD-4453-844B-BF9980D7D823}"/>
            </c:ext>
          </c:extLst>
        </c:ser>
        <c:ser>
          <c:idx val="2"/>
          <c:order val="2"/>
          <c:tx>
            <c:strRef>
              <c:f>中国移动!$B$13</c:f>
              <c:strCache>
                <c:ptCount val="1"/>
                <c:pt idx="0">
                  <c:v>家庭市场</c:v>
                </c:pt>
              </c:strCache>
            </c:strRef>
          </c:tx>
          <c:spPr>
            <a:solidFill>
              <a:schemeClr val="accent3"/>
            </a:solidFill>
            <a:ln>
              <a:noFill/>
            </a:ln>
            <a:effectLst/>
          </c:spPr>
          <c:invertIfNegative val="0"/>
          <c:cat>
            <c:strRef>
              <c:f>中国移动!$C$10:$H$10</c:f>
              <c:strCache>
                <c:ptCount val="6"/>
                <c:pt idx="0">
                  <c:v>2020</c:v>
                </c:pt>
                <c:pt idx="1">
                  <c:v>2021</c:v>
                </c:pt>
                <c:pt idx="2">
                  <c:v>2022</c:v>
                </c:pt>
                <c:pt idx="3">
                  <c:v>2023E</c:v>
                </c:pt>
                <c:pt idx="4">
                  <c:v>2024E</c:v>
                </c:pt>
                <c:pt idx="5">
                  <c:v>2025E</c:v>
                </c:pt>
              </c:strCache>
            </c:strRef>
          </c:cat>
          <c:val>
            <c:numRef>
              <c:f>中国移动!$C$13:$H$13</c:f>
              <c:numCache>
                <c:formatCode>#,##0_);[Red]\(#,##0\)</c:formatCode>
                <c:ptCount val="6"/>
                <c:pt idx="0">
                  <c:v>83195.364238410591</c:v>
                </c:pt>
                <c:pt idx="1">
                  <c:v>100500</c:v>
                </c:pt>
                <c:pt idx="2">
                  <c:v>116600</c:v>
                </c:pt>
                <c:pt idx="3">
                  <c:v>131758</c:v>
                </c:pt>
                <c:pt idx="4">
                  <c:v>143616.22</c:v>
                </c:pt>
                <c:pt idx="5">
                  <c:v>150797.03100000002</c:v>
                </c:pt>
              </c:numCache>
            </c:numRef>
          </c:val>
          <c:extLst>
            <c:ext xmlns:c16="http://schemas.microsoft.com/office/drawing/2014/chart" uri="{C3380CC4-5D6E-409C-BE32-E72D297353CC}">
              <c16:uniqueId val="{00000002-B9CD-4453-844B-BF9980D7D823}"/>
            </c:ext>
          </c:extLst>
        </c:ser>
        <c:ser>
          <c:idx val="3"/>
          <c:order val="3"/>
          <c:tx>
            <c:strRef>
              <c:f>中国移动!$B$14</c:f>
              <c:strCache>
                <c:ptCount val="1"/>
              </c:strCache>
            </c:strRef>
          </c:tx>
          <c:spPr>
            <a:solidFill>
              <a:schemeClr val="accent4"/>
            </a:solidFill>
            <a:ln>
              <a:noFill/>
            </a:ln>
            <a:effectLst/>
          </c:spPr>
          <c:invertIfNegative val="0"/>
          <c:cat>
            <c:strRef>
              <c:f>中国移动!$C$10:$H$10</c:f>
              <c:strCache>
                <c:ptCount val="6"/>
                <c:pt idx="0">
                  <c:v>2020</c:v>
                </c:pt>
                <c:pt idx="1">
                  <c:v>2021</c:v>
                </c:pt>
                <c:pt idx="2">
                  <c:v>2022</c:v>
                </c:pt>
                <c:pt idx="3">
                  <c:v>2023E</c:v>
                </c:pt>
                <c:pt idx="4">
                  <c:v>2024E</c:v>
                </c:pt>
                <c:pt idx="5">
                  <c:v>2025E</c:v>
                </c:pt>
              </c:strCache>
            </c:strRef>
          </c:cat>
          <c:val>
            <c:numRef>
              <c:f>中国移动!$C$14:$H$14</c:f>
              <c:numCache>
                <c:formatCode>0%</c:formatCode>
                <c:ptCount val="6"/>
                <c:pt idx="1">
                  <c:v>0.20799999999999996</c:v>
                </c:pt>
                <c:pt idx="2">
                  <c:v>0.16019900497512429</c:v>
                </c:pt>
                <c:pt idx="3">
                  <c:v>0.12999999999999989</c:v>
                </c:pt>
                <c:pt idx="4">
                  <c:v>9.000000000000008E-2</c:v>
                </c:pt>
                <c:pt idx="5">
                  <c:v>5.0000000000000044E-2</c:v>
                </c:pt>
              </c:numCache>
            </c:numRef>
          </c:val>
          <c:extLst>
            <c:ext xmlns:c16="http://schemas.microsoft.com/office/drawing/2014/chart" uri="{C3380CC4-5D6E-409C-BE32-E72D297353CC}">
              <c16:uniqueId val="{00000003-B9CD-4453-844B-BF9980D7D823}"/>
            </c:ext>
          </c:extLst>
        </c:ser>
        <c:ser>
          <c:idx val="4"/>
          <c:order val="4"/>
          <c:tx>
            <c:strRef>
              <c:f>中国移动!$B$15</c:f>
              <c:strCache>
                <c:ptCount val="1"/>
                <c:pt idx="0">
                  <c:v>政企市场</c:v>
                </c:pt>
              </c:strCache>
            </c:strRef>
          </c:tx>
          <c:spPr>
            <a:solidFill>
              <a:schemeClr val="accent5"/>
            </a:solidFill>
            <a:ln>
              <a:noFill/>
            </a:ln>
            <a:effectLst/>
          </c:spPr>
          <c:invertIfNegative val="0"/>
          <c:cat>
            <c:strRef>
              <c:f>中国移动!$C$10:$H$10</c:f>
              <c:strCache>
                <c:ptCount val="6"/>
                <c:pt idx="0">
                  <c:v>2020</c:v>
                </c:pt>
                <c:pt idx="1">
                  <c:v>2021</c:v>
                </c:pt>
                <c:pt idx="2">
                  <c:v>2022</c:v>
                </c:pt>
                <c:pt idx="3">
                  <c:v>2023E</c:v>
                </c:pt>
                <c:pt idx="4">
                  <c:v>2024E</c:v>
                </c:pt>
                <c:pt idx="5">
                  <c:v>2025E</c:v>
                </c:pt>
              </c:strCache>
            </c:strRef>
          </c:cat>
          <c:val>
            <c:numRef>
              <c:f>中国移动!$C$15:$H$15</c:f>
              <c:numCache>
                <c:formatCode>#,##0_);[Red]\(#,##0\)</c:formatCode>
                <c:ptCount val="6"/>
                <c:pt idx="0">
                  <c:v>112932.4546952224</c:v>
                </c:pt>
                <c:pt idx="1">
                  <c:v>137100</c:v>
                </c:pt>
                <c:pt idx="2">
                  <c:v>168200</c:v>
                </c:pt>
                <c:pt idx="3">
                  <c:v>210250</c:v>
                </c:pt>
                <c:pt idx="4">
                  <c:v>258607.5</c:v>
                </c:pt>
                <c:pt idx="5">
                  <c:v>312915.07500000001</c:v>
                </c:pt>
              </c:numCache>
            </c:numRef>
          </c:val>
          <c:extLst>
            <c:ext xmlns:c16="http://schemas.microsoft.com/office/drawing/2014/chart" uri="{C3380CC4-5D6E-409C-BE32-E72D297353CC}">
              <c16:uniqueId val="{00000004-B9CD-4453-844B-BF9980D7D823}"/>
            </c:ext>
          </c:extLst>
        </c:ser>
        <c:ser>
          <c:idx val="5"/>
          <c:order val="5"/>
          <c:tx>
            <c:strRef>
              <c:f>中国移动!$B$16</c:f>
              <c:strCache>
                <c:ptCount val="1"/>
              </c:strCache>
            </c:strRef>
          </c:tx>
          <c:spPr>
            <a:solidFill>
              <a:schemeClr val="accent6"/>
            </a:solidFill>
            <a:ln>
              <a:noFill/>
            </a:ln>
            <a:effectLst/>
          </c:spPr>
          <c:invertIfNegative val="0"/>
          <c:cat>
            <c:strRef>
              <c:f>中国移动!$C$10:$H$10</c:f>
              <c:strCache>
                <c:ptCount val="6"/>
                <c:pt idx="0">
                  <c:v>2020</c:v>
                </c:pt>
                <c:pt idx="1">
                  <c:v>2021</c:v>
                </c:pt>
                <c:pt idx="2">
                  <c:v>2022</c:v>
                </c:pt>
                <c:pt idx="3">
                  <c:v>2023E</c:v>
                </c:pt>
                <c:pt idx="4">
                  <c:v>2024E</c:v>
                </c:pt>
                <c:pt idx="5">
                  <c:v>2025E</c:v>
                </c:pt>
              </c:strCache>
            </c:strRef>
          </c:cat>
          <c:val>
            <c:numRef>
              <c:f>中国移动!$C$16:$H$16</c:f>
              <c:numCache>
                <c:formatCode>0%</c:formatCode>
                <c:ptCount val="6"/>
                <c:pt idx="1">
                  <c:v>0.21399999999999997</c:v>
                </c:pt>
                <c:pt idx="2">
                  <c:v>0.22684172137126191</c:v>
                </c:pt>
                <c:pt idx="3">
                  <c:v>0.25</c:v>
                </c:pt>
                <c:pt idx="4">
                  <c:v>0.22999999999999998</c:v>
                </c:pt>
                <c:pt idx="5">
                  <c:v>0.20999999999999996</c:v>
                </c:pt>
              </c:numCache>
            </c:numRef>
          </c:val>
          <c:extLst>
            <c:ext xmlns:c16="http://schemas.microsoft.com/office/drawing/2014/chart" uri="{C3380CC4-5D6E-409C-BE32-E72D297353CC}">
              <c16:uniqueId val="{00000005-B9CD-4453-844B-BF9980D7D823}"/>
            </c:ext>
          </c:extLst>
        </c:ser>
        <c:ser>
          <c:idx val="6"/>
          <c:order val="6"/>
          <c:tx>
            <c:strRef>
              <c:f>中国移动!$B$17</c:f>
              <c:strCache>
                <c:ptCount val="1"/>
                <c:pt idx="0">
                  <c:v>新兴市场</c:v>
                </c:pt>
              </c:strCache>
            </c:strRef>
          </c:tx>
          <c:spPr>
            <a:solidFill>
              <a:schemeClr val="accent1">
                <a:lumMod val="60000"/>
              </a:schemeClr>
            </a:solidFill>
            <a:ln>
              <a:noFill/>
            </a:ln>
            <a:effectLst/>
          </c:spPr>
          <c:invertIfNegative val="0"/>
          <c:cat>
            <c:strRef>
              <c:f>中国移动!$C$10:$H$10</c:f>
              <c:strCache>
                <c:ptCount val="6"/>
                <c:pt idx="0">
                  <c:v>2020</c:v>
                </c:pt>
                <c:pt idx="1">
                  <c:v>2021</c:v>
                </c:pt>
                <c:pt idx="2">
                  <c:v>2022</c:v>
                </c:pt>
                <c:pt idx="3">
                  <c:v>2023E</c:v>
                </c:pt>
                <c:pt idx="4">
                  <c:v>2024E</c:v>
                </c:pt>
                <c:pt idx="5">
                  <c:v>2025E</c:v>
                </c:pt>
              </c:strCache>
            </c:strRef>
          </c:cat>
          <c:val>
            <c:numRef>
              <c:f>中国移动!$C$17:$H$17</c:f>
              <c:numCache>
                <c:formatCode>#,##0_);[Red]\(#,##0\)</c:formatCode>
                <c:ptCount val="6"/>
                <c:pt idx="0">
                  <c:v>22578.241430700451</c:v>
                </c:pt>
                <c:pt idx="1">
                  <c:v>30300</c:v>
                </c:pt>
                <c:pt idx="2">
                  <c:v>38500</c:v>
                </c:pt>
                <c:pt idx="3">
                  <c:v>47740</c:v>
                </c:pt>
                <c:pt idx="4">
                  <c:v>57288</c:v>
                </c:pt>
                <c:pt idx="5">
                  <c:v>66454.080000000002</c:v>
                </c:pt>
              </c:numCache>
            </c:numRef>
          </c:val>
          <c:extLst>
            <c:ext xmlns:c16="http://schemas.microsoft.com/office/drawing/2014/chart" uri="{C3380CC4-5D6E-409C-BE32-E72D297353CC}">
              <c16:uniqueId val="{00000006-B9CD-4453-844B-BF9980D7D823}"/>
            </c:ext>
          </c:extLst>
        </c:ser>
        <c:ser>
          <c:idx val="7"/>
          <c:order val="7"/>
          <c:tx>
            <c:strRef>
              <c:f>中国移动!$B$18</c:f>
              <c:strCache>
                <c:ptCount val="1"/>
              </c:strCache>
            </c:strRef>
          </c:tx>
          <c:spPr>
            <a:solidFill>
              <a:schemeClr val="accent2">
                <a:lumMod val="60000"/>
              </a:schemeClr>
            </a:solidFill>
            <a:ln>
              <a:noFill/>
            </a:ln>
            <a:effectLst/>
          </c:spPr>
          <c:invertIfNegative val="0"/>
          <c:cat>
            <c:strRef>
              <c:f>中国移动!$C$10:$H$10</c:f>
              <c:strCache>
                <c:ptCount val="6"/>
                <c:pt idx="0">
                  <c:v>2020</c:v>
                </c:pt>
                <c:pt idx="1">
                  <c:v>2021</c:v>
                </c:pt>
                <c:pt idx="2">
                  <c:v>2022</c:v>
                </c:pt>
                <c:pt idx="3">
                  <c:v>2023E</c:v>
                </c:pt>
                <c:pt idx="4">
                  <c:v>2024E</c:v>
                </c:pt>
                <c:pt idx="5">
                  <c:v>2025E</c:v>
                </c:pt>
              </c:strCache>
            </c:strRef>
          </c:cat>
          <c:val>
            <c:numRef>
              <c:f>中国移动!$C$18:$H$18</c:f>
              <c:numCache>
                <c:formatCode>0%</c:formatCode>
                <c:ptCount val="6"/>
                <c:pt idx="1">
                  <c:v>0.34199999999999986</c:v>
                </c:pt>
                <c:pt idx="2">
                  <c:v>0.27062706270627057</c:v>
                </c:pt>
                <c:pt idx="3">
                  <c:v>0.24</c:v>
                </c:pt>
                <c:pt idx="4">
                  <c:v>0.19999999999999996</c:v>
                </c:pt>
                <c:pt idx="5">
                  <c:v>0.15999999999999992</c:v>
                </c:pt>
              </c:numCache>
            </c:numRef>
          </c:val>
          <c:extLst>
            <c:ext xmlns:c16="http://schemas.microsoft.com/office/drawing/2014/chart" uri="{C3380CC4-5D6E-409C-BE32-E72D297353CC}">
              <c16:uniqueId val="{00000007-B9CD-4453-844B-BF9980D7D823}"/>
            </c:ext>
          </c:extLst>
        </c:ser>
        <c:dLbls>
          <c:showLegendKey val="0"/>
          <c:showVal val="0"/>
          <c:showCatName val="0"/>
          <c:showSerName val="0"/>
          <c:showPercent val="0"/>
          <c:showBubbleSize val="0"/>
        </c:dLbls>
        <c:gapWidth val="150"/>
        <c:overlap val="100"/>
        <c:axId val="851954064"/>
        <c:axId val="851948240"/>
      </c:barChart>
      <c:catAx>
        <c:axId val="851954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51948240"/>
        <c:crosses val="autoZero"/>
        <c:auto val="1"/>
        <c:lblAlgn val="ctr"/>
        <c:lblOffset val="100"/>
        <c:noMultiLvlLbl val="0"/>
      </c:catAx>
      <c:valAx>
        <c:axId val="851948240"/>
        <c:scaling>
          <c:orientation val="minMax"/>
          <c:max val="1100000"/>
          <c:min val="0"/>
        </c:scaling>
        <c:delete val="0"/>
        <c:axPos val="l"/>
        <c:numFmt formatCode="#,##0_);[Red]\(#,##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851954064"/>
        <c:crosses val="autoZero"/>
        <c:crossBetween val="between"/>
      </c:valAx>
      <c:spPr>
        <a:noFill/>
        <a:ln>
          <a:noFill/>
        </a:ln>
        <a:effectLst/>
      </c:spPr>
    </c:plotArea>
    <c:legend>
      <c:legendPos val="b"/>
      <c:layout>
        <c:manualLayout>
          <c:xMode val="edge"/>
          <c:yMode val="edge"/>
          <c:x val="5.3960240118500036E-2"/>
          <c:y val="0.89429602018886933"/>
          <c:w val="0.9"/>
          <c:h val="8.8716437342274454E-2"/>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指标!$A$28</c:f>
              <c:strCache>
                <c:ptCount val="1"/>
                <c:pt idx="0">
                  <c:v>移动业务ARPU</c:v>
                </c:pt>
              </c:strCache>
            </c:strRef>
          </c:tx>
          <c:spPr>
            <a:solidFill>
              <a:schemeClr val="accent2"/>
            </a:solidFill>
            <a:ln>
              <a:noFill/>
            </a:ln>
            <a:effectLst/>
          </c:spPr>
          <c:invertIfNegative val="0"/>
          <c:cat>
            <c:numRef>
              <c:f>指标!$B$27:$F$27</c:f>
              <c:numCache>
                <c:formatCode>General</c:formatCode>
                <c:ptCount val="5"/>
                <c:pt idx="0">
                  <c:v>2018</c:v>
                </c:pt>
                <c:pt idx="1">
                  <c:v>2019</c:v>
                </c:pt>
                <c:pt idx="2">
                  <c:v>2020</c:v>
                </c:pt>
                <c:pt idx="3">
                  <c:v>2021</c:v>
                </c:pt>
                <c:pt idx="4">
                  <c:v>2022</c:v>
                </c:pt>
              </c:numCache>
            </c:numRef>
          </c:cat>
          <c:val>
            <c:numRef>
              <c:f>指标!$B$28:$F$28</c:f>
              <c:numCache>
                <c:formatCode>0.0_ </c:formatCode>
                <c:ptCount val="5"/>
                <c:pt idx="0">
                  <c:v>53.1</c:v>
                </c:pt>
                <c:pt idx="1">
                  <c:v>49.1</c:v>
                </c:pt>
                <c:pt idx="2">
                  <c:v>47.4</c:v>
                </c:pt>
                <c:pt idx="3">
                  <c:v>48.8</c:v>
                </c:pt>
                <c:pt idx="4">
                  <c:v>49</c:v>
                </c:pt>
              </c:numCache>
            </c:numRef>
          </c:val>
          <c:extLst>
            <c:ext xmlns:c16="http://schemas.microsoft.com/office/drawing/2014/chart" uri="{C3380CC4-5D6E-409C-BE32-E72D297353CC}">
              <c16:uniqueId val="{00000000-5C0F-44BA-8F9E-F35B458FD350}"/>
            </c:ext>
          </c:extLst>
        </c:ser>
        <c:dLbls>
          <c:showLegendKey val="0"/>
          <c:showVal val="0"/>
          <c:showCatName val="0"/>
          <c:showSerName val="0"/>
          <c:showPercent val="0"/>
          <c:showBubbleSize val="0"/>
        </c:dLbls>
        <c:gapWidth val="219"/>
        <c:overlap val="-27"/>
        <c:axId val="533759024"/>
        <c:axId val="533756528"/>
      </c:barChart>
      <c:catAx>
        <c:axId val="533759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756528"/>
        <c:crosses val="autoZero"/>
        <c:auto val="1"/>
        <c:lblAlgn val="ctr"/>
        <c:lblOffset val="100"/>
        <c:noMultiLvlLbl val="0"/>
      </c:catAx>
      <c:valAx>
        <c:axId val="533756528"/>
        <c:scaling>
          <c:orientation val="minMax"/>
        </c:scaling>
        <c:delete val="0"/>
        <c:axPos val="l"/>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75902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1958376884305391"/>
          <c:y val="6.2947067238912732E-2"/>
          <c:w val="0.83715172771545154"/>
          <c:h val="0.70659006679958991"/>
        </c:manualLayout>
      </c:layout>
      <c:barChart>
        <c:barDir val="col"/>
        <c:grouping val="clustered"/>
        <c:varyColors val="0"/>
        <c:ser>
          <c:idx val="0"/>
          <c:order val="0"/>
          <c:tx>
            <c:strRef>
              <c:f>指标!$C$35</c:f>
              <c:strCache>
                <c:ptCount val="1"/>
                <c:pt idx="0">
                  <c:v>2020</c:v>
                </c:pt>
              </c:strCache>
            </c:strRef>
          </c:tx>
          <c:spPr>
            <a:solidFill>
              <a:schemeClr val="accent1"/>
            </a:solidFill>
            <a:ln>
              <a:noFill/>
            </a:ln>
            <a:effectLst/>
          </c:spPr>
          <c:invertIfNegative val="0"/>
          <c:cat>
            <c:strRef>
              <c:f>指标!$B$36:$B$38</c:f>
              <c:strCache>
                <c:ptCount val="3"/>
                <c:pt idx="0">
                  <c:v>网络营运及支撑</c:v>
                </c:pt>
                <c:pt idx="1">
                  <c:v>折旧摊销及其他</c:v>
                </c:pt>
                <c:pt idx="2">
                  <c:v>职工薪酬</c:v>
                </c:pt>
              </c:strCache>
            </c:strRef>
          </c:cat>
          <c:val>
            <c:numRef>
              <c:f>指标!$C$36:$C$38</c:f>
              <c:numCache>
                <c:formatCode>0.00%</c:formatCode>
                <c:ptCount val="3"/>
                <c:pt idx="0">
                  <c:v>0.26875675394169801</c:v>
                </c:pt>
                <c:pt idx="1">
                  <c:v>0.22446001015532438</c:v>
                </c:pt>
                <c:pt idx="2">
                  <c:v>0.13856679729712135</c:v>
                </c:pt>
              </c:numCache>
            </c:numRef>
          </c:val>
          <c:extLst>
            <c:ext xmlns:c16="http://schemas.microsoft.com/office/drawing/2014/chart" uri="{C3380CC4-5D6E-409C-BE32-E72D297353CC}">
              <c16:uniqueId val="{00000000-DDB5-434F-92BF-A0B3F517C7C7}"/>
            </c:ext>
          </c:extLst>
        </c:ser>
        <c:ser>
          <c:idx val="1"/>
          <c:order val="1"/>
          <c:tx>
            <c:strRef>
              <c:f>指标!$D$35</c:f>
              <c:strCache>
                <c:ptCount val="1"/>
                <c:pt idx="0">
                  <c:v>2021</c:v>
                </c:pt>
              </c:strCache>
            </c:strRef>
          </c:tx>
          <c:spPr>
            <a:solidFill>
              <a:schemeClr val="accent2"/>
            </a:solidFill>
            <a:ln>
              <a:noFill/>
            </a:ln>
            <a:effectLst/>
          </c:spPr>
          <c:invertIfNegative val="0"/>
          <c:cat>
            <c:strRef>
              <c:f>指标!$B$36:$B$38</c:f>
              <c:strCache>
                <c:ptCount val="3"/>
                <c:pt idx="0">
                  <c:v>网络营运及支撑</c:v>
                </c:pt>
                <c:pt idx="1">
                  <c:v>折旧摊销及其他</c:v>
                </c:pt>
                <c:pt idx="2">
                  <c:v>职工薪酬</c:v>
                </c:pt>
              </c:strCache>
            </c:strRef>
          </c:cat>
          <c:val>
            <c:numRef>
              <c:f>指标!$D$36:$D$38</c:f>
              <c:numCache>
                <c:formatCode>0.00%</c:formatCode>
                <c:ptCount val="3"/>
                <c:pt idx="0">
                  <c:v>0.26526127663989024</c:v>
                </c:pt>
                <c:pt idx="1">
                  <c:v>0.2275781660768304</c:v>
                </c:pt>
                <c:pt idx="2">
                  <c:v>0.13991026315106961</c:v>
                </c:pt>
              </c:numCache>
            </c:numRef>
          </c:val>
          <c:extLst>
            <c:ext xmlns:c16="http://schemas.microsoft.com/office/drawing/2014/chart" uri="{C3380CC4-5D6E-409C-BE32-E72D297353CC}">
              <c16:uniqueId val="{00000001-DDB5-434F-92BF-A0B3F517C7C7}"/>
            </c:ext>
          </c:extLst>
        </c:ser>
        <c:ser>
          <c:idx val="2"/>
          <c:order val="2"/>
          <c:tx>
            <c:strRef>
              <c:f>指标!$E$35</c:f>
              <c:strCache>
                <c:ptCount val="1"/>
                <c:pt idx="0">
                  <c:v>2022</c:v>
                </c:pt>
              </c:strCache>
            </c:strRef>
          </c:tx>
          <c:spPr>
            <a:solidFill>
              <a:schemeClr val="accent3"/>
            </a:solidFill>
            <a:ln>
              <a:noFill/>
            </a:ln>
            <a:effectLst/>
          </c:spPr>
          <c:invertIfNegative val="0"/>
          <c:cat>
            <c:strRef>
              <c:f>指标!$B$36:$B$38</c:f>
              <c:strCache>
                <c:ptCount val="3"/>
                <c:pt idx="0">
                  <c:v>网络营运及支撑</c:v>
                </c:pt>
                <c:pt idx="1">
                  <c:v>折旧摊销及其他</c:v>
                </c:pt>
                <c:pt idx="2">
                  <c:v>职工薪酬</c:v>
                </c:pt>
              </c:strCache>
            </c:strRef>
          </c:cat>
          <c:val>
            <c:numRef>
              <c:f>指标!$E$36:$E$38</c:f>
              <c:numCache>
                <c:formatCode>0.00%</c:formatCode>
                <c:ptCount val="3"/>
                <c:pt idx="0">
                  <c:v>0.27119718242236135</c:v>
                </c:pt>
                <c:pt idx="1">
                  <c:v>0.21347034277611632</c:v>
                </c:pt>
                <c:pt idx="2">
                  <c:v>0.13886983213818166</c:v>
                </c:pt>
              </c:numCache>
            </c:numRef>
          </c:val>
          <c:extLst>
            <c:ext xmlns:c16="http://schemas.microsoft.com/office/drawing/2014/chart" uri="{C3380CC4-5D6E-409C-BE32-E72D297353CC}">
              <c16:uniqueId val="{00000002-DDB5-434F-92BF-A0B3F517C7C7}"/>
            </c:ext>
          </c:extLst>
        </c:ser>
        <c:ser>
          <c:idx val="3"/>
          <c:order val="3"/>
          <c:tx>
            <c:strRef>
              <c:f>指标!$F$35</c:f>
              <c:strCache>
                <c:ptCount val="1"/>
                <c:pt idx="0">
                  <c:v>2023E</c:v>
                </c:pt>
              </c:strCache>
            </c:strRef>
          </c:tx>
          <c:spPr>
            <a:solidFill>
              <a:schemeClr val="accent4"/>
            </a:solidFill>
            <a:ln>
              <a:noFill/>
            </a:ln>
            <a:effectLst/>
          </c:spPr>
          <c:invertIfNegative val="0"/>
          <c:cat>
            <c:strRef>
              <c:f>指标!$B$36:$B$38</c:f>
              <c:strCache>
                <c:ptCount val="3"/>
                <c:pt idx="0">
                  <c:v>网络营运及支撑</c:v>
                </c:pt>
                <c:pt idx="1">
                  <c:v>折旧摊销及其他</c:v>
                </c:pt>
                <c:pt idx="2">
                  <c:v>职工薪酬</c:v>
                </c:pt>
              </c:strCache>
            </c:strRef>
          </c:cat>
          <c:val>
            <c:numRef>
              <c:f>指标!$F$36:$F$38</c:f>
              <c:numCache>
                <c:formatCode>0.00%</c:formatCode>
                <c:ptCount val="3"/>
                <c:pt idx="0">
                  <c:v>0.28077204268797562</c:v>
                </c:pt>
                <c:pt idx="1">
                  <c:v>0.20425778366843425</c:v>
                </c:pt>
                <c:pt idx="2">
                  <c:v>0.14054271020957718</c:v>
                </c:pt>
              </c:numCache>
            </c:numRef>
          </c:val>
          <c:extLst>
            <c:ext xmlns:c16="http://schemas.microsoft.com/office/drawing/2014/chart" uri="{C3380CC4-5D6E-409C-BE32-E72D297353CC}">
              <c16:uniqueId val="{00000003-DDB5-434F-92BF-A0B3F517C7C7}"/>
            </c:ext>
          </c:extLst>
        </c:ser>
        <c:ser>
          <c:idx val="4"/>
          <c:order val="4"/>
          <c:tx>
            <c:strRef>
              <c:f>指标!$G$35</c:f>
              <c:strCache>
                <c:ptCount val="1"/>
                <c:pt idx="0">
                  <c:v>2024E</c:v>
                </c:pt>
              </c:strCache>
            </c:strRef>
          </c:tx>
          <c:spPr>
            <a:solidFill>
              <a:schemeClr val="accent5"/>
            </a:solidFill>
            <a:ln>
              <a:noFill/>
            </a:ln>
            <a:effectLst/>
          </c:spPr>
          <c:invertIfNegative val="0"/>
          <c:cat>
            <c:strRef>
              <c:f>指标!$B$36:$B$38</c:f>
              <c:strCache>
                <c:ptCount val="3"/>
                <c:pt idx="0">
                  <c:v>网络营运及支撑</c:v>
                </c:pt>
                <c:pt idx="1">
                  <c:v>折旧摊销及其他</c:v>
                </c:pt>
                <c:pt idx="2">
                  <c:v>职工薪酬</c:v>
                </c:pt>
              </c:strCache>
            </c:strRef>
          </c:cat>
          <c:val>
            <c:numRef>
              <c:f>指标!$G$36:$G$38</c:f>
              <c:numCache>
                <c:formatCode>0.00%</c:formatCode>
                <c:ptCount val="3"/>
                <c:pt idx="0">
                  <c:v>0.28774958438457537</c:v>
                </c:pt>
                <c:pt idx="1">
                  <c:v>0.1949505556301607</c:v>
                </c:pt>
                <c:pt idx="2">
                  <c:v>0.14256290015485132</c:v>
                </c:pt>
              </c:numCache>
            </c:numRef>
          </c:val>
          <c:extLst>
            <c:ext xmlns:c16="http://schemas.microsoft.com/office/drawing/2014/chart" uri="{C3380CC4-5D6E-409C-BE32-E72D297353CC}">
              <c16:uniqueId val="{00000004-DDB5-434F-92BF-A0B3F517C7C7}"/>
            </c:ext>
          </c:extLst>
        </c:ser>
        <c:ser>
          <c:idx val="5"/>
          <c:order val="5"/>
          <c:tx>
            <c:strRef>
              <c:f>指标!$H$35</c:f>
              <c:strCache>
                <c:ptCount val="1"/>
                <c:pt idx="0">
                  <c:v>2025E</c:v>
                </c:pt>
              </c:strCache>
            </c:strRef>
          </c:tx>
          <c:spPr>
            <a:solidFill>
              <a:schemeClr val="accent6"/>
            </a:solidFill>
            <a:ln>
              <a:noFill/>
            </a:ln>
            <a:effectLst/>
          </c:spPr>
          <c:invertIfNegative val="0"/>
          <c:cat>
            <c:strRef>
              <c:f>指标!$B$36:$B$38</c:f>
              <c:strCache>
                <c:ptCount val="3"/>
                <c:pt idx="0">
                  <c:v>网络营运及支撑</c:v>
                </c:pt>
                <c:pt idx="1">
                  <c:v>折旧摊销及其他</c:v>
                </c:pt>
                <c:pt idx="2">
                  <c:v>职工薪酬</c:v>
                </c:pt>
              </c:strCache>
            </c:strRef>
          </c:cat>
          <c:val>
            <c:numRef>
              <c:f>指标!$H$36:$H$38</c:f>
              <c:numCache>
                <c:formatCode>0.00%</c:formatCode>
                <c:ptCount val="3"/>
                <c:pt idx="0">
                  <c:v>0.29283418856620202</c:v>
                </c:pt>
                <c:pt idx="1">
                  <c:v>0.18503866696890217</c:v>
                </c:pt>
                <c:pt idx="2">
                  <c:v>0.14521562727616186</c:v>
                </c:pt>
              </c:numCache>
            </c:numRef>
          </c:val>
          <c:extLst>
            <c:ext xmlns:c16="http://schemas.microsoft.com/office/drawing/2014/chart" uri="{C3380CC4-5D6E-409C-BE32-E72D297353CC}">
              <c16:uniqueId val="{00000005-DDB5-434F-92BF-A0B3F517C7C7}"/>
            </c:ext>
          </c:extLst>
        </c:ser>
        <c:dLbls>
          <c:showLegendKey val="0"/>
          <c:showVal val="0"/>
          <c:showCatName val="0"/>
          <c:showSerName val="0"/>
          <c:showPercent val="0"/>
          <c:showBubbleSize val="0"/>
        </c:dLbls>
        <c:gapWidth val="150"/>
        <c:axId val="195548480"/>
        <c:axId val="196826368"/>
      </c:barChart>
      <c:catAx>
        <c:axId val="195548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826368"/>
        <c:crosses val="autoZero"/>
        <c:auto val="1"/>
        <c:lblAlgn val="ctr"/>
        <c:lblOffset val="100"/>
        <c:noMultiLvlLbl val="0"/>
      </c:catAx>
      <c:valAx>
        <c:axId val="196826368"/>
        <c:scaling>
          <c:orientation val="minMax"/>
          <c:max val="0.30000000000000004"/>
          <c:min val="0.1"/>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548480"/>
        <c:crosses val="autoZero"/>
        <c:crossBetween val="between"/>
      </c:valAx>
      <c:spPr>
        <a:noFill/>
        <a:ln>
          <a:noFill/>
        </a:ln>
        <a:effectLst/>
      </c:spPr>
    </c:plotArea>
    <c:legend>
      <c:legendPos val="b"/>
      <c:layout>
        <c:manualLayout>
          <c:xMode val="edge"/>
          <c:yMode val="edge"/>
          <c:x val="2.7342630917239003E-2"/>
          <c:y val="0.87948858324039969"/>
          <c:w val="0.97169543664583491"/>
          <c:h val="9.711961970418933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178191362443332"/>
          <c:y val="4.5390070921985819E-2"/>
          <c:w val="0.83377364193112224"/>
          <c:h val="0.72156944211760754"/>
        </c:manualLayout>
      </c:layout>
      <c:barChart>
        <c:barDir val="col"/>
        <c:grouping val="stacked"/>
        <c:varyColors val="0"/>
        <c:ser>
          <c:idx val="0"/>
          <c:order val="0"/>
          <c:tx>
            <c:strRef>
              <c:f>指标!$B$50</c:f>
              <c:strCache>
                <c:ptCount val="1"/>
                <c:pt idx="0">
                  <c:v>连接</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指标!$C$49:$D$49</c:f>
              <c:numCache>
                <c:formatCode>General</c:formatCode>
                <c:ptCount val="2"/>
                <c:pt idx="0">
                  <c:v>2022</c:v>
                </c:pt>
                <c:pt idx="1">
                  <c:v>2023</c:v>
                </c:pt>
              </c:numCache>
            </c:numRef>
          </c:cat>
          <c:val>
            <c:numRef>
              <c:f>指标!$C$50:$D$50</c:f>
              <c:numCache>
                <c:formatCode>General</c:formatCode>
                <c:ptCount val="2"/>
                <c:pt idx="0">
                  <c:v>1171</c:v>
                </c:pt>
                <c:pt idx="1">
                  <c:v>1029</c:v>
                </c:pt>
              </c:numCache>
            </c:numRef>
          </c:val>
          <c:extLst>
            <c:ext xmlns:c16="http://schemas.microsoft.com/office/drawing/2014/chart" uri="{C3380CC4-5D6E-409C-BE32-E72D297353CC}">
              <c16:uniqueId val="{00000000-C0F3-4C68-B7DB-3F43BD8D0321}"/>
            </c:ext>
          </c:extLst>
        </c:ser>
        <c:ser>
          <c:idx val="1"/>
          <c:order val="1"/>
          <c:tx>
            <c:strRef>
              <c:f>指标!$B$51</c:f>
              <c:strCache>
                <c:ptCount val="1"/>
                <c:pt idx="0">
                  <c:v>算力</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指标!$C$49:$D$49</c:f>
              <c:numCache>
                <c:formatCode>General</c:formatCode>
                <c:ptCount val="2"/>
                <c:pt idx="0">
                  <c:v>2022</c:v>
                </c:pt>
                <c:pt idx="1">
                  <c:v>2023</c:v>
                </c:pt>
              </c:numCache>
            </c:numRef>
          </c:cat>
          <c:val>
            <c:numRef>
              <c:f>指标!$C$51:$D$51</c:f>
              <c:numCache>
                <c:formatCode>General</c:formatCode>
                <c:ptCount val="2"/>
                <c:pt idx="0">
                  <c:v>335</c:v>
                </c:pt>
                <c:pt idx="1">
                  <c:v>452</c:v>
                </c:pt>
              </c:numCache>
            </c:numRef>
          </c:val>
          <c:extLst>
            <c:ext xmlns:c16="http://schemas.microsoft.com/office/drawing/2014/chart" uri="{C3380CC4-5D6E-409C-BE32-E72D297353CC}">
              <c16:uniqueId val="{00000001-C0F3-4C68-B7DB-3F43BD8D0321}"/>
            </c:ext>
          </c:extLst>
        </c:ser>
        <c:ser>
          <c:idx val="2"/>
          <c:order val="2"/>
          <c:tx>
            <c:strRef>
              <c:f>指标!$B$52</c:f>
              <c:strCache>
                <c:ptCount val="1"/>
                <c:pt idx="0">
                  <c:v>能力</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指标!$C$49:$D$49</c:f>
              <c:numCache>
                <c:formatCode>General</c:formatCode>
                <c:ptCount val="2"/>
                <c:pt idx="0">
                  <c:v>2022</c:v>
                </c:pt>
                <c:pt idx="1">
                  <c:v>2023</c:v>
                </c:pt>
              </c:numCache>
            </c:numRef>
          </c:cat>
          <c:val>
            <c:numRef>
              <c:f>指标!$C$52:$D$52</c:f>
              <c:numCache>
                <c:formatCode>General</c:formatCode>
                <c:ptCount val="2"/>
                <c:pt idx="0">
                  <c:v>134</c:v>
                </c:pt>
                <c:pt idx="1">
                  <c:v>141</c:v>
                </c:pt>
              </c:numCache>
            </c:numRef>
          </c:val>
          <c:extLst>
            <c:ext xmlns:c16="http://schemas.microsoft.com/office/drawing/2014/chart" uri="{C3380CC4-5D6E-409C-BE32-E72D297353CC}">
              <c16:uniqueId val="{00000002-C0F3-4C68-B7DB-3F43BD8D0321}"/>
            </c:ext>
          </c:extLst>
        </c:ser>
        <c:ser>
          <c:idx val="3"/>
          <c:order val="3"/>
          <c:tx>
            <c:strRef>
              <c:f>指标!$B$53</c:f>
              <c:strCache>
                <c:ptCount val="1"/>
                <c:pt idx="0">
                  <c:v>基础</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指标!$C$49:$D$49</c:f>
              <c:numCache>
                <c:formatCode>General</c:formatCode>
                <c:ptCount val="2"/>
                <c:pt idx="0">
                  <c:v>2022</c:v>
                </c:pt>
                <c:pt idx="1">
                  <c:v>2023</c:v>
                </c:pt>
              </c:numCache>
            </c:numRef>
          </c:cat>
          <c:val>
            <c:numRef>
              <c:f>指标!$C$53:$D$53</c:f>
              <c:numCache>
                <c:formatCode>General</c:formatCode>
                <c:ptCount val="2"/>
                <c:pt idx="0">
                  <c:v>212</c:v>
                </c:pt>
                <c:pt idx="1">
                  <c:v>210</c:v>
                </c:pt>
              </c:numCache>
            </c:numRef>
          </c:val>
          <c:extLst>
            <c:ext xmlns:c16="http://schemas.microsoft.com/office/drawing/2014/chart" uri="{C3380CC4-5D6E-409C-BE32-E72D297353CC}">
              <c16:uniqueId val="{00000003-C0F3-4C68-B7DB-3F43BD8D0321}"/>
            </c:ext>
          </c:extLst>
        </c:ser>
        <c:dLbls>
          <c:dLblPos val="ctr"/>
          <c:showLegendKey val="0"/>
          <c:showVal val="1"/>
          <c:showCatName val="0"/>
          <c:showSerName val="0"/>
          <c:showPercent val="0"/>
          <c:showBubbleSize val="0"/>
        </c:dLbls>
        <c:gapWidth val="150"/>
        <c:overlap val="100"/>
        <c:axId val="251068448"/>
        <c:axId val="313534512"/>
      </c:barChart>
      <c:catAx>
        <c:axId val="251068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534512"/>
        <c:crosses val="autoZero"/>
        <c:auto val="1"/>
        <c:lblAlgn val="ctr"/>
        <c:lblOffset val="100"/>
        <c:noMultiLvlLbl val="0"/>
      </c:catAx>
      <c:valAx>
        <c:axId val="3135345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251068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310206-19AC-4EB9-9CC6-CB1A977A9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luoying</dc:creator>
  <cp:lastModifiedBy>office user</cp:lastModifiedBy>
  <cp:revision>3</cp:revision>
  <cp:lastPrinted>2023-02-24T07:28:00Z</cp:lastPrinted>
  <dcterms:created xsi:type="dcterms:W3CDTF">2023-05-03T03:18:00Z</dcterms:created>
  <dcterms:modified xsi:type="dcterms:W3CDTF">2023-05-03T03:18:00Z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Date">
    <vt:lpwstr>2022-08-09</vt:lpwstr>
  </property>
  <property fmtid="{D5CDD505-2E9C-101B-9397-08002B2CF9AE}" pid="3" name="ReportTitle">
    <vt:lpwstr/>
  </property>
  <property fmtid="{D5CDD505-2E9C-101B-9397-08002B2CF9AE}" pid="4" name="ReportSecTitle">
    <vt:lpwstr/>
  </property>
  <property fmtid="{D5CDD505-2E9C-101B-9397-08002B2CF9AE}" pid="5" name="KSOProductBuildVer">
    <vt:lpwstr>2052-0.0.0.0</vt:lpwstr>
  </property>
</Properties>
</file>