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9C5FC" w14:textId="3ABDBC05" w:rsidR="00460D70" w:rsidRDefault="00000000">
      <w:pPr>
        <w:pStyle w:val="Heading1"/>
      </w:pPr>
      <w:bookmarkStart w:id="0" w:name="bittensor-dtao-subnets"/>
      <w:r>
        <w:t xml:space="preserve">Bittensor </w:t>
      </w:r>
      <w:r w:rsidR="008D0685">
        <w:t>Deev Dive: Is TAO crypto’s most promising AI project?</w:t>
      </w:r>
    </w:p>
    <w:p w14:paraId="5DCD083F" w14:textId="77777777" w:rsidR="00460D70" w:rsidRDefault="00000000">
      <w:pPr>
        <w:pStyle w:val="Heading2"/>
      </w:pPr>
      <w:bookmarkStart w:id="1" w:name="introduction"/>
      <w:r>
        <w:t>Introduction</w:t>
      </w:r>
    </w:p>
    <w:p w14:paraId="1DC23F77" w14:textId="77777777" w:rsidR="00460D70" w:rsidRDefault="00000000">
      <w:pPr>
        <w:pStyle w:val="FirstParagraph"/>
      </w:pPr>
      <w:r>
        <w:t>Despite commanding a significant position as the top decentralized AI project on the blockchain by market cap, Bittensor remains surprisingly unknown in the broader crypto landscape. While other AI tokens grab headlines with flashy marketing and VC backing, Bittensor has quietly built one of crypto’s most sophisticated technical architectures - combining a high-performance Layer 1 blockchain with a network of specialized AI subnets.</w:t>
      </w:r>
    </w:p>
    <w:p w14:paraId="40098542" w14:textId="77777777" w:rsidR="00460D70" w:rsidRDefault="00000000">
      <w:pPr>
        <w:pStyle w:val="BodyText"/>
      </w:pPr>
      <w:r>
        <w:t>In this analysis, we’ll examine Bittensor’s technology stack, recent developments around dTAO and token economics. Further, we will look at future challenges and market opportunities to give an outlook into the future and assess if Bittensor is primed to leave its marks in the AI and blockchain landscapes.</w:t>
      </w:r>
    </w:p>
    <w:p w14:paraId="484A0453" w14:textId="77777777" w:rsidR="00460D70" w:rsidRDefault="00000000">
      <w:pPr>
        <w:pStyle w:val="Heading2"/>
      </w:pPr>
      <w:bookmarkStart w:id="2" w:name="understanding-bittensors-foundation"/>
      <w:bookmarkEnd w:id="1"/>
      <w:r>
        <w:t>2. Understanding Bittensor’s Foundation</w:t>
      </w:r>
    </w:p>
    <w:p w14:paraId="5A94CBB4" w14:textId="77777777" w:rsidR="00460D70" w:rsidRDefault="00000000">
      <w:pPr>
        <w:pStyle w:val="FirstParagraph"/>
      </w:pPr>
      <w:r>
        <w:t>At Bittensors foundation lies the Subtensor blockchain, built on Substrate framework and recently upgraded with EVM compatibility. This base layer handles two critical functions: coordinating tasks across the network’s subnets and distributing rewards through the Yuma consensus mechanism. Unlike traditional consensus mechanisms focused on transaction validation, Yuma consensus evaluates the quality of AI contributions, creating what some have termed “Proof-of-Intelligence.”</w:t>
      </w:r>
    </w:p>
    <w:p w14:paraId="19579348" w14:textId="77777777" w:rsidR="00460D70" w:rsidRDefault="00000000">
      <w:pPr>
        <w:pStyle w:val="BodyText"/>
      </w:pPr>
      <w:r>
        <w:t>Each subnet operates as an autonomous network dedicated to specific computational tasks, from AI model training to inference services. This design allows the network to scale horizontally while maintaining specialized focus areas.</w:t>
      </w:r>
    </w:p>
    <w:p w14:paraId="4FB9F14B" w14:textId="77777777" w:rsidR="00460D70" w:rsidRDefault="00000000">
      <w:pPr>
        <w:pStyle w:val="Heading3"/>
      </w:pPr>
      <w:bookmarkStart w:id="3" w:name="network-participants-and-roles"/>
      <w:r>
        <w:t>Network Participants and Roles</w:t>
      </w:r>
    </w:p>
    <w:p w14:paraId="2B6AB6AB" w14:textId="77777777" w:rsidR="00460D70" w:rsidRDefault="00000000">
      <w:pPr>
        <w:pStyle w:val="FirstParagraph"/>
      </w:pPr>
      <w:r>
        <w:t>The network’s participant structure differs markedly from traditional blockchain architectures. Instead of miners securing transactions or validators confirming blocks, Bittensor’s roles are oriented around contributing and validating intelligence:</w:t>
      </w:r>
    </w:p>
    <w:p w14:paraId="37EE9198" w14:textId="77777777" w:rsidR="00460D70" w:rsidRDefault="00000000">
      <w:pPr>
        <w:pStyle w:val="Compact"/>
        <w:numPr>
          <w:ilvl w:val="0"/>
          <w:numId w:val="2"/>
        </w:numPr>
      </w:pPr>
      <w:r>
        <w:t>Subnet Owners define network rules, task types, and validation methods for their specific subnet</w:t>
      </w:r>
    </w:p>
    <w:p w14:paraId="56543508" w14:textId="77777777" w:rsidR="00460D70" w:rsidRDefault="00000000">
      <w:pPr>
        <w:pStyle w:val="Compact"/>
        <w:numPr>
          <w:ilvl w:val="0"/>
          <w:numId w:val="2"/>
        </w:numPr>
      </w:pPr>
      <w:r>
        <w:t>Miners provide computational resources and AI models, competing to deliver the highest quality outputs</w:t>
      </w:r>
    </w:p>
    <w:p w14:paraId="77835250" w14:textId="77777777" w:rsidR="00460D70" w:rsidRDefault="00000000">
      <w:pPr>
        <w:pStyle w:val="Compact"/>
        <w:numPr>
          <w:ilvl w:val="0"/>
          <w:numId w:val="2"/>
        </w:numPr>
      </w:pPr>
      <w:r>
        <w:t>Validators distribute tasks and evaluate results, directly influencing reward distribution through their assessments</w:t>
      </w:r>
    </w:p>
    <w:p w14:paraId="0806C673" w14:textId="5E152383" w:rsidR="00B76288" w:rsidRPr="00B76288" w:rsidRDefault="00000000" w:rsidP="0068183B">
      <w:pPr>
        <w:pStyle w:val="FirstParagraph"/>
      </w:pPr>
      <w:r>
        <w:t xml:space="preserve">Bittensor’s economic model ensures that incentives of all participants are aligned. Through the Yuma consensus, participants are rewarded based on the quality and relevance of their contributions rather than purely computational work. Miners earn more TAO tokens when </w:t>
      </w:r>
      <w:r>
        <w:lastRenderedPageBreak/>
        <w:t>their outputs are rated highly, while validators are rewarded for alignment with network consensus.</w:t>
      </w:r>
    </w:p>
    <w:p w14:paraId="1F9AD63F" w14:textId="77777777" w:rsidR="00460D70" w:rsidRDefault="00000000">
      <w:pPr>
        <w:pStyle w:val="BodyText"/>
      </w:pPr>
      <w:r>
        <w:t>The recent transition to dTAO has further refined these incentive structures by introducing subnet-specific alpha tokens and market-driven resource allocation. This shift addresses previous limitations where centralized validator groups held disproportionate influence over reward distribution. Now, the market itself determines subnet value through direct token holder participation.</w:t>
      </w:r>
    </w:p>
    <w:p w14:paraId="1219F493" w14:textId="77777777" w:rsidR="00460D70" w:rsidRDefault="00000000">
      <w:pPr>
        <w:pStyle w:val="BodyText"/>
      </w:pPr>
      <w:r>
        <w:t>The contribution evaluation process occurs every 12 seconds (one block), with 1 TAO distributed according to participant performance. This creates a continuous feedback loop where higher quality contributions earn greater rewards, driving continous improvement in network intelligence. The system’s design encourages both competition between participants and collaboration within subnets, as subnet success directly impacts token holder returns.</w:t>
      </w:r>
    </w:p>
    <w:p w14:paraId="08C85C09" w14:textId="77777777" w:rsidR="00460D70" w:rsidRDefault="00000000">
      <w:pPr>
        <w:pStyle w:val="BodyText"/>
      </w:pPr>
      <w:r>
        <w:rPr>
          <w:i/>
          <w:iCs/>
        </w:rPr>
        <w:t>“dTAO represents a milestone achievement for the wider network and Bittensor economy. Allowing market participants to support and speculate on a tapestry of infinite ‘AI markets’ represents a free, merit based market. Subnet builders will have to build for the market instead of a committee.” - Brody Adreon, TaoTimes</w:t>
      </w:r>
    </w:p>
    <w:p w14:paraId="097F7454" w14:textId="77777777" w:rsidR="00460D70" w:rsidRDefault="00000000">
      <w:pPr>
        <w:pStyle w:val="Heading2"/>
      </w:pPr>
      <w:bookmarkStart w:id="4" w:name="the-introduction-of-dtao"/>
      <w:bookmarkEnd w:id="2"/>
      <w:bookmarkEnd w:id="3"/>
      <w:r>
        <w:t>3. The introduction of dTAO</w:t>
      </w:r>
    </w:p>
    <w:p w14:paraId="799E70B0" w14:textId="77777777" w:rsidR="00460D70" w:rsidRDefault="00000000">
      <w:pPr>
        <w:pStyle w:val="Heading3"/>
      </w:pPr>
      <w:bookmarkStart w:id="5" w:name="transition-to-decentralized-governance"/>
      <w:r>
        <w:t>Transition to Decentralized Governance</w:t>
      </w:r>
    </w:p>
    <w:p w14:paraId="4E55F64A" w14:textId="77777777" w:rsidR="00460D70" w:rsidRDefault="00000000">
      <w:pPr>
        <w:pStyle w:val="FirstParagraph"/>
      </w:pPr>
      <w:r>
        <w:t>Bittensor’s transition to dTAO was deployed on February 13, 2025, marking a fundamental shift in how network resources are allocated. Previously, 64 validators were responsible for emissions and reward distribution in the Root Subnet until the dTAO implementation, creating what critics called an “oligarchic voting system.” This centralization led to power concentration, with the top 5 validators holding a significant percentage of voting power, and raised concerns about bias and potential collusion between subnet owners and validators.</w:t>
      </w:r>
    </w:p>
    <w:p w14:paraId="52D65384" w14:textId="77777777" w:rsidR="00460D70" w:rsidRDefault="00000000">
      <w:pPr>
        <w:pStyle w:val="BodyText"/>
      </w:pPr>
      <w:r>
        <w:t>The dTAO upgrade dismantled this centralized structure in favor of market-driven resource allocation. Now, TAO holders directly influence subnet growth by staking tokens in subnet-specific liquidity pools, receiving alpha tokens in return. This mechanism creates a powerful feedback loop - successful subnets attract more staking, leading to higher alpha token prices and increased TAO emissions, while underperforming subnets see their resources naturally diminish.</w:t>
      </w:r>
    </w:p>
    <w:p w14:paraId="034ED89B" w14:textId="77777777" w:rsidR="00460D70" w:rsidRDefault="00000000">
      <w:pPr>
        <w:pStyle w:val="BodyText"/>
      </w:pPr>
      <w:r>
        <w:t>The new staking dynamics offer participants two primary options: staking to Root Network (Subnet 0) for a base APY paid in TAO, or staking to subnet liquidity pools for potentially higher returns but with exposure to alpha token price movements. This market-based approach forces subnet builders to focus on delivering real value rather than cultivating validator relationships.</w:t>
      </w:r>
    </w:p>
    <w:p w14:paraId="02D86A22" w14:textId="77777777" w:rsidR="00460D70" w:rsidRDefault="00000000">
      <w:pPr>
        <w:pStyle w:val="Heading3"/>
      </w:pPr>
      <w:bookmarkStart w:id="6" w:name="subnet-economics"/>
      <w:bookmarkEnd w:id="5"/>
      <w:r>
        <w:lastRenderedPageBreak/>
        <w:t>Subnet Economics</w:t>
      </w:r>
    </w:p>
    <w:p w14:paraId="436C5A31" w14:textId="77777777" w:rsidR="00460D70" w:rsidRDefault="00000000">
      <w:pPr>
        <w:pStyle w:val="FirstParagraph"/>
      </w:pPr>
      <w:r>
        <w:t>Each subnet now issues its own alpha token with a maximum supply of 21 million, mirroring TAO’s tokenomics. These tokens serve multiple functions - they represent ownership in the subnet, provide staking rewards, and most importantly, their market price directly determines TAO emissions to that subnet. The higher an alpha token’s price rises relative to other subnets, the more TAO emissions it receives.</w:t>
      </w:r>
    </w:p>
    <w:p w14:paraId="2ECCF159" w14:textId="77777777" w:rsidR="00460D70" w:rsidRDefault="00000000">
      <w:pPr>
        <w:pStyle w:val="BodyText"/>
      </w:pPr>
      <w:r>
        <w:t>This market-driven valuation creates interesting dynamics around risk and reward. On one side, alpha tokens offer potentially higher yields than basic TAO staking, along with exposure to specific subnet performance. However, they also introduce new risks - alpha tokens can decline in value relative to TAO, and their liquidity is limited to subnet-specific pools.</w:t>
      </w:r>
    </w:p>
    <w:p w14:paraId="0753B695" w14:textId="77777777" w:rsidR="00460D70" w:rsidRDefault="00000000">
      <w:pPr>
        <w:pStyle w:val="BodyText"/>
      </w:pPr>
      <w:r>
        <w:rPr>
          <w:i/>
          <w:iCs/>
        </w:rPr>
        <w:t>“dTAO represents a milestone achievement for the wider network and Bittensor economy. Allowing market participants to support and speculate on a tapestry of infinite ‘AI markets’ represents a free, merit based market. Subnet builders will have to build for the market instead of a committee.” - Brody Adreon, TaoTimes</w:t>
      </w:r>
    </w:p>
    <w:p w14:paraId="31901E0A" w14:textId="77777777" w:rsidR="00460D70" w:rsidRDefault="00000000">
      <w:pPr>
        <w:pStyle w:val="BodyText"/>
      </w:pPr>
      <w:r>
        <w:t>However, the introduction of dTAO has also introduced some new challenges. Many subnets struggle with balancing technical development against market expectations, particularly those focused on longer-term research objectives. Subnet developers that prioritize fundamental technical innovations that may not immediately translate to market performance might see their subnet token struggle, and thus miss out on vital rewards needed to complete their long-term plan. This pressure can cause short-term thinking rather than a focus on long-term product development.</w:t>
      </w:r>
    </w:p>
    <w:p w14:paraId="00DD2A0C" w14:textId="77777777" w:rsidR="00460D70" w:rsidRDefault="00000000">
      <w:pPr>
        <w:pStyle w:val="Heading2"/>
      </w:pPr>
      <w:bookmarkStart w:id="7" w:name="the-subnet-ecosystem"/>
      <w:bookmarkEnd w:id="4"/>
      <w:bookmarkEnd w:id="6"/>
      <w:r>
        <w:t>4. The Subnet Ecosystem</w:t>
      </w:r>
    </w:p>
    <w:p w14:paraId="3FA2BB9E" w14:textId="77777777" w:rsidR="00460D70" w:rsidRDefault="00000000">
      <w:pPr>
        <w:pStyle w:val="FirstParagraph"/>
      </w:pPr>
      <w:r>
        <w:t>Bittensor’s network has expanded rapidly since the dTAO implementation, now encompassing over 80 active subnets. Each of these subnets operates as an autonomous network dedicated to specific computational tasks, from text generation to financial predictions, creating a diverse ecosystem of AI services.</w:t>
      </w:r>
    </w:p>
    <w:p w14:paraId="61046B26" w14:textId="77777777" w:rsidR="00460D70" w:rsidRDefault="00000000">
      <w:pPr>
        <w:pStyle w:val="Compact"/>
        <w:numPr>
          <w:ilvl w:val="0"/>
          <w:numId w:val="3"/>
        </w:numPr>
      </w:pPr>
      <w:r>
        <w:t>AI Model Training: Subnets focused on distributed training of large language models and specialized AI architectures</w:t>
      </w:r>
    </w:p>
    <w:p w14:paraId="018F7271" w14:textId="77777777" w:rsidR="00460D70" w:rsidRDefault="00000000">
      <w:pPr>
        <w:pStyle w:val="Compact"/>
        <w:numPr>
          <w:ilvl w:val="0"/>
          <w:numId w:val="3"/>
        </w:numPr>
      </w:pPr>
      <w:r>
        <w:t>Inference Services: High-performance networks delivering real-time AI inference for applications</w:t>
      </w:r>
    </w:p>
    <w:p w14:paraId="77260029" w14:textId="77777777" w:rsidR="00460D70" w:rsidRDefault="00000000">
      <w:pPr>
        <w:pStyle w:val="Compact"/>
        <w:numPr>
          <w:ilvl w:val="0"/>
          <w:numId w:val="3"/>
        </w:numPr>
      </w:pPr>
      <w:r>
        <w:t>Financial Analytics: Dedicated subnets for market prediction, risk assessment, and trading signals</w:t>
      </w:r>
    </w:p>
    <w:p w14:paraId="07E11E0F" w14:textId="77777777" w:rsidR="00460D70" w:rsidRDefault="00000000">
      <w:pPr>
        <w:pStyle w:val="Compact"/>
        <w:numPr>
          <w:ilvl w:val="0"/>
          <w:numId w:val="3"/>
        </w:numPr>
      </w:pPr>
      <w:r>
        <w:t>Computer Vision: Networks specialized in image processing, 3D generation, and visual analysis</w:t>
      </w:r>
    </w:p>
    <w:p w14:paraId="624AD986" w14:textId="77777777" w:rsidR="00460D70" w:rsidRDefault="00000000">
      <w:pPr>
        <w:pStyle w:val="Compact"/>
        <w:numPr>
          <w:ilvl w:val="0"/>
          <w:numId w:val="3"/>
        </w:numPr>
      </w:pPr>
      <w:r>
        <w:t>Research &amp; Development: Experimental subnets advancing novel AI approaches like Metanova and Safescan</w:t>
      </w:r>
    </w:p>
    <w:p w14:paraId="6C87CCBC" w14:textId="77777777" w:rsidR="00460D70" w:rsidRDefault="00000000">
      <w:pPr>
        <w:pStyle w:val="FirstParagraph"/>
      </w:pPr>
      <w:r>
        <w:t xml:space="preserve">This specialization drives innovation through focused development and competition. For instance, Chutes gained significant traction through visual processing capabilities, while Tensorplex attracted major investment for its novel approach to distributed compute. The </w:t>
      </w:r>
      <w:r>
        <w:lastRenderedPageBreak/>
        <w:t>market’s response to these innovations is reflected in their alpha token valuations and TAO emission rates.</w:t>
      </w:r>
    </w:p>
    <w:p w14:paraId="30C62715" w14:textId="77777777" w:rsidR="00460D70" w:rsidRDefault="00000000">
      <w:pPr>
        <w:pStyle w:val="BodyText"/>
      </w:pPr>
      <w:r>
        <w:t>Looking at real traction, standout subnets like Dippy have achieved over 4 million users, while Celium generated more than $1 million in revenue within five months of launch. These metrics demonstrate that beyond speculative interest, the subnet ecosystem is delivering practical value and attracting genuine usage.</w:t>
      </w:r>
    </w:p>
    <w:p w14:paraId="3CD621ED" w14:textId="77777777" w:rsidR="00460D70" w:rsidRDefault="00000000">
      <w:pPr>
        <w:pStyle w:val="Heading2"/>
      </w:pPr>
      <w:bookmarkStart w:id="8" w:name="challenges-and-opportunities"/>
      <w:bookmarkEnd w:id="7"/>
      <w:r>
        <w:t>5. Challenges and Opportunities</w:t>
      </w:r>
    </w:p>
    <w:p w14:paraId="7DE05E01" w14:textId="77777777" w:rsidR="00460D70" w:rsidRDefault="00000000">
      <w:pPr>
        <w:pStyle w:val="Heading3"/>
      </w:pPr>
      <w:bookmarkStart w:id="9" w:name="challenges"/>
      <w:r>
        <w:t>Challenges</w:t>
      </w:r>
    </w:p>
    <w:p w14:paraId="2383558F" w14:textId="77777777" w:rsidR="00460D70" w:rsidRDefault="00000000">
      <w:pPr>
        <w:pStyle w:val="FirstParagraph"/>
      </w:pPr>
      <w:r>
        <w:t>Bittensor’s ambitious fusion of AI and blockchain technology creates unique technical hurdles that help explain why it remains relatively unknown despite its market position. The complexity of coordinating distributed AI workloads while maintaining blockchain consensus demands sophisticated infrastructure that few teams can properly evaluate or build upon. This specialized knowledge requirement has limited developer adoption compared to pure blockchain or AI projects.</w:t>
      </w:r>
    </w:p>
    <w:p w14:paraId="007618E8" w14:textId="77777777" w:rsidR="00460D70" w:rsidRDefault="00000000">
      <w:pPr>
        <w:pStyle w:val="BodyText"/>
      </w:pPr>
      <w:r>
        <w:t>Further, the network faces scaling constraints as subnet activity grows. Bittensor’s performance varies due to the diverse computational demands across its subnets. The recent transition to dTAO has highlighted these limitations, with some subnets experiencing gas spikes and network congestion during periods of high activity. Without improvements to the underlying infrastructure, these issues could constrain growth as more compute-intensive AI applications emerge.</w:t>
      </w:r>
    </w:p>
    <w:p w14:paraId="4DA63A79" w14:textId="77777777" w:rsidR="00460D70" w:rsidRDefault="00000000">
      <w:pPr>
        <w:pStyle w:val="BodyText"/>
      </w:pPr>
      <w:r>
        <w:t>Another critical challenge lies in the potential for emergent behaviors within the network. As more subnets join the ecosystem, unexpected interactions between validators and miners could arise, presenting new attack vectors. Despite Yuma consensus and dTAO’s design to minimize gaming the system, sophisticated participants might discover novel ways to collude or extract disproportionate rewards. This risk is amplified by the network’s complexity – each subnet operates with custom code, increasing the surface area for potential vulnerabilities or exploits.</w:t>
      </w:r>
    </w:p>
    <w:p w14:paraId="7D1E04A7" w14:textId="77777777" w:rsidR="00460D70" w:rsidRDefault="00000000">
      <w:pPr>
        <w:pStyle w:val="BodyText"/>
      </w:pPr>
      <w:r>
        <w:t>There’s also the risk of stake centralization that could undermine Bittensor’s decentralization ethos. If a few entities control large amounts of TAO or dominate multiple subnets, they could discourage broader participation. Although dTAO was designed partly to address this by enabling community-wide stake allocation, maintaining a healthy balance of influence remains an ongoing challenge.</w:t>
      </w:r>
    </w:p>
    <w:p w14:paraId="03A57807" w14:textId="77777777" w:rsidR="00460D70" w:rsidRDefault="00000000">
      <w:pPr>
        <w:pStyle w:val="BodyText"/>
      </w:pPr>
      <w:r>
        <w:t>Finally, the upcoming halving in late 2025 will serve as a critical test of Bittensor’s resilience. As block rewards drop to 0.5 TAO, miners and validators will face reduced incentives precisely when the network needs their computational resources most. If external demand for Bittensor’s services hasn’t materialized sufficiently by then, we could see a contraction in network participation as miners are forced to exit the system.</w:t>
      </w:r>
    </w:p>
    <w:p w14:paraId="7DFA53AB" w14:textId="77777777" w:rsidR="00460D70" w:rsidRDefault="00000000">
      <w:pPr>
        <w:pStyle w:val="Heading3"/>
      </w:pPr>
      <w:bookmarkStart w:id="10" w:name="market-opportunities"/>
      <w:bookmarkEnd w:id="9"/>
      <w:r>
        <w:lastRenderedPageBreak/>
        <w:t>Market Opportunities</w:t>
      </w:r>
    </w:p>
    <w:p w14:paraId="0768D0FE" w14:textId="77777777" w:rsidR="00460D70" w:rsidRDefault="00000000">
      <w:pPr>
        <w:pStyle w:val="FirstParagraph"/>
      </w:pPr>
      <w:r>
        <w:t>Bittensor’s most exciting innovation might be pioneering new economic models for AI. The concept of AI financialization – where models and data become investable and stakeable assets – opens unprecedented possibilities for researchers and investors alike. Specialized subnets like Taoshi for financial forecasting and Meta Search for data analysis demonstrate how domain-specific intelligence can be tokenized and traded. This approach could transform how AI resources are allocated, shifting from centralized corporate funding to market-driven development.</w:t>
      </w:r>
    </w:p>
    <w:p w14:paraId="5B265C24" w14:textId="77777777" w:rsidR="00460D70" w:rsidRDefault="00000000">
      <w:pPr>
        <w:pStyle w:val="BodyText"/>
      </w:pPr>
      <w:r>
        <w:t>The integration with other Web3 projects further expands Bittensor’s horizons. Partnerships like those with Vana for user-owned data and Zuvu AI for service layers illustrate how the network can anchor a broader ecosystem. If successful, this triadic model of Data + Compute + Economy could attract more DataDAOs and specialized AI services, creating a self-reinforcing cycle of innovation. As the open AI movement gains momentum, Bittensor’s position at the intersection of decentralized computing and machine intelligence offers unique advantages for those seeking alternatives to corporate-controlled AI development.</w:t>
      </w:r>
    </w:p>
    <w:p w14:paraId="69A9AFEF" w14:textId="77777777" w:rsidR="00460D70" w:rsidRDefault="00000000">
      <w:pPr>
        <w:pStyle w:val="BodyText"/>
      </w:pPr>
      <w:r>
        <w:t>And finally, as concerns about AI centralization grow, offering a credible path toward democratizing access to artificial intelligence could prove compelling. Bittensor’s network aims to democratize AI development and holds distinct competitive advantages by enabling researchers and developers to collaborate while earning rewards for their contributions, positioning it perfectly to benefit if AI centralization concerns become stronger in the future.</w:t>
      </w:r>
    </w:p>
    <w:p w14:paraId="2DCF6261" w14:textId="77777777" w:rsidR="00460D70" w:rsidRDefault="00000000">
      <w:pPr>
        <w:pStyle w:val="Heading2"/>
      </w:pPr>
      <w:bookmarkStart w:id="11" w:name="future-outlook"/>
      <w:bookmarkEnd w:id="8"/>
      <w:bookmarkEnd w:id="10"/>
      <w:r>
        <w:t>6. Future Outlook</w:t>
      </w:r>
    </w:p>
    <w:p w14:paraId="07FDF510" w14:textId="77777777" w:rsidR="00460D70" w:rsidRDefault="00000000">
      <w:pPr>
        <w:pStyle w:val="FirstParagraph"/>
      </w:pPr>
      <w:r>
        <w:t>Bittensor stands at a pivotal crossroads in the evolution of both blockchain and artificial intelligence. After analyzing the ecosystem’s trajectory, technical architecture, and market positioning, I believe Bittensor is poised to emerge as the definitive infrastructure for decentralized AI – albeit with some critical hurdles to overcome.</w:t>
      </w:r>
    </w:p>
    <w:p w14:paraId="34AF27C7" w14:textId="77777777" w:rsidR="00460D70" w:rsidRDefault="00000000">
      <w:pPr>
        <w:pStyle w:val="BodyText"/>
      </w:pPr>
      <w:r>
        <w:t>The implementation of dTAO will likely prove to be the watershed moment that either catapults Bittensor into mainstream awareness or relegates it to the status of a fascinating but ultimately niche experiment. This radical reorganization of incentives has created the first true market-driven AI incubator, where capital allocation aligns directly with innovation potential rather than centralized decision-making.</w:t>
      </w:r>
    </w:p>
    <w:p w14:paraId="3E95C347" w14:textId="77777777" w:rsidR="00460D70" w:rsidRDefault="00000000">
      <w:pPr>
        <w:pStyle w:val="BodyText"/>
      </w:pPr>
      <w:r>
        <w:t>While decentralization narratives have fueled Bittensor’s early growth, mainstream adoption will ultimately depend on whether the network can produce applications that outperform centralized alternatives. The reality is straightforward: users gravitate toward superior products, not ideological principles. For Bittensor to succeed beyond crypto enthusiast circles, its subnets must deliver tangible advantages in cost, performance, or capabilities that centralized providers cannot match.</w:t>
      </w:r>
    </w:p>
    <w:p w14:paraId="1271474C" w14:textId="77777777" w:rsidR="00460D70" w:rsidRDefault="00000000">
      <w:pPr>
        <w:pStyle w:val="BodyText"/>
      </w:pPr>
      <w:r>
        <w:t xml:space="preserve">Rather than becoming the backbone for all AI applications, Bittensor will likely carve out specific niches where its decentralized approach creates genuine value. The ecosystem is </w:t>
      </w:r>
      <w:r>
        <w:lastRenderedPageBreak/>
        <w:t>particularly well-positioned to excel in areas such as specialized data marketplaces where diversity of sources matters, compute arbitrage markets that benefit from dynamic resource allocation, financial prediction models requiring collective intelligence, and scientific research collaboration where distributed expertise accelerates discovery.</w:t>
      </w:r>
    </w:p>
    <w:p w14:paraId="1EC8F38C" w14:textId="77777777" w:rsidR="00460D70" w:rsidRDefault="00000000">
      <w:pPr>
        <w:pStyle w:val="BodyText"/>
      </w:pPr>
      <w:r>
        <w:t>Early evidence supports this targeted approach. Subnet 19 has already surpassed Azure as an inference provider for DeepSeek models, demonstrating that distributed compute can outcompete even tech giants in specialized domains. Celium has generated over $1 million in revenue within five months by offering competitive GPU services. These examples indicate that Bittensor’s market-driven approach can indeed produce commercially viable offerings in specific sectors.</w:t>
      </w:r>
    </w:p>
    <w:p w14:paraId="1E33F989" w14:textId="77777777" w:rsidR="00460D70" w:rsidRDefault="00000000">
      <w:pPr>
        <w:pStyle w:val="BodyText"/>
      </w:pPr>
      <w:r>
        <w:t>The dTAO economic model creates precisely the conditions needed for this product-focused evolution. By replacing centralized validator decisions with market signals, dTAO forces subnet builders to prioritize real-world utility and revenue generation. The subnets that attract stake will increasingly be those that demonstrate tangible value rather than speculative potential. This pressure will accelerate the ecosystem’s maturation from experimental projects to revenue-generating businesses.</w:t>
      </w:r>
    </w:p>
    <w:p w14:paraId="4AF8AEAC" w14:textId="079E1F50" w:rsidR="00460D70" w:rsidRPr="00005B67" w:rsidRDefault="00000000">
      <w:pPr>
        <w:pStyle w:val="BodyText"/>
        <w:rPr>
          <w:lang w:val="en-GB"/>
        </w:rPr>
      </w:pPr>
      <w:r>
        <w:t>I expect substantial consolidation within the subnet ecosystem over the next two years. Of the current 80+ subnets, only a handful will emerge as truly valuable entities</w:t>
      </w:r>
      <w:r w:rsidR="00005B67">
        <w:t xml:space="preserve">, together with a handful of new successful subnets that aren’t even launched yet. </w:t>
      </w:r>
      <w:r w:rsidR="00005B67" w:rsidRPr="00005B67">
        <w:rPr>
          <w:lang w:val="en-GB"/>
        </w:rPr>
        <w:t xml:space="preserve">This consolidation </w:t>
      </w:r>
      <w:proofErr w:type="gramStart"/>
      <w:r w:rsidR="00005B67">
        <w:rPr>
          <w:lang w:val="en-GB"/>
        </w:rPr>
        <w:t>isn</w:t>
      </w:r>
      <w:r w:rsidR="00005B67" w:rsidRPr="00005B67">
        <w:rPr>
          <w:lang w:val="en-GB"/>
        </w:rPr>
        <w:t xml:space="preserve">'t </w:t>
      </w:r>
      <w:r w:rsidR="00005B67">
        <w:rPr>
          <w:lang w:val="en-GB"/>
        </w:rPr>
        <w:t>be</w:t>
      </w:r>
      <w:proofErr w:type="gramEnd"/>
      <w:r w:rsidR="00005B67">
        <w:rPr>
          <w:lang w:val="en-GB"/>
        </w:rPr>
        <w:t xml:space="preserve"> Bittensor failing,</w:t>
      </w:r>
      <w:r w:rsidR="00005B67" w:rsidRPr="00005B67">
        <w:rPr>
          <w:lang w:val="en-GB"/>
        </w:rPr>
        <w:t xml:space="preserve"> but a natural evolution toward focusing resources on the most promising use cases.</w:t>
      </w:r>
      <w:r w:rsidR="00005B67">
        <w:rPr>
          <w:lang w:val="en-GB"/>
        </w:rPr>
        <w:t xml:space="preserve"> </w:t>
      </w:r>
      <w:r>
        <w:t>Each successful subnet will validate Bittensor’s model and attract further investment to the ecosystem.</w:t>
      </w:r>
    </w:p>
    <w:p w14:paraId="4151D546" w14:textId="77777777" w:rsidR="00460D70" w:rsidRDefault="00000000">
      <w:pPr>
        <w:pStyle w:val="BodyText"/>
      </w:pPr>
      <w:r>
        <w:t>Bittensor’s path to mainstream adoption will not be as a unified brand that everyday users recognize, but rather as invisible infrastructure powering specialized applications. Much like how most people will eventually use blockchain-powered products without realizing it, Bittensor-powered AI applications will reach mainstream users who never know the underlying technology. In these targeted domains, Bittensor’s incentive structure and distributed approach will enable products that outperform centralized alternatives on their own merits, not just their decentralized nature. This targeted excellence, rather than broad dominance, represents Bittensor’s most likely path to lasting impact in the AI landscape.</w:t>
      </w:r>
    </w:p>
    <w:p w14:paraId="7B6FC1A2" w14:textId="77777777" w:rsidR="00460D70" w:rsidRDefault="00000000">
      <w:pPr>
        <w:pStyle w:val="Heading2"/>
      </w:pPr>
      <w:bookmarkStart w:id="12" w:name="conclusion"/>
      <w:bookmarkEnd w:id="11"/>
      <w:r>
        <w:t>7. Conclusion</w:t>
      </w:r>
    </w:p>
    <w:p w14:paraId="09645094" w14:textId="77777777" w:rsidR="00460D70" w:rsidRDefault="00000000">
      <w:pPr>
        <w:pStyle w:val="FirstParagraph"/>
      </w:pPr>
      <w:r>
        <w:t>On a personal note, I find Bittensor’s mission deeply compelling in today’s AI landscape. As we entrust increasingly sensitive data and personal thoughts to AI systems, the concentration of this power in a handful of corporate entities presents significant risks. We’re building a future where AI will be woven into the fabric of our daily lives, influencing decisions from the mundane to the profound – yet the architecture of these systems remains largely closed and controlled by a select few.</w:t>
      </w:r>
    </w:p>
    <w:p w14:paraId="6873E075" w14:textId="77777777" w:rsidR="00460D70" w:rsidRDefault="00000000">
      <w:pPr>
        <w:pStyle w:val="BodyText"/>
      </w:pPr>
      <w:r>
        <w:t>This is precisely why Bittensor excites me. It represents one of the most viable paths toward a more balanced AI ecosystem where alternatives to centralized models can flourish. Its unique combination of economic incentives and technical architecture creates the conditions for genuine innovation outside the walled gardens of major AI labs.</w:t>
      </w:r>
    </w:p>
    <w:p w14:paraId="4076C62A" w14:textId="77777777" w:rsidR="00460D70" w:rsidRDefault="00000000">
      <w:pPr>
        <w:pStyle w:val="BodyText"/>
      </w:pPr>
      <w:r>
        <w:lastRenderedPageBreak/>
        <w:t>While Bittensor may not become the dominant force in artificial intelligence, even capturing focused niches of the market would represent a significant achievement. The existence of functioning decentralized alternatives provides an essential counterweight, ensuring that our collective AI future isn’t determined solely by corporate interests and closed systems. Which is why I’m personally really rooting for a future outcome where Bittensor establishes itself firmly within the AI market.</w:t>
      </w:r>
      <w:bookmarkEnd w:id="0"/>
      <w:bookmarkEnd w:id="12"/>
    </w:p>
    <w:sectPr w:rsidR="00460D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1ADB3" w14:textId="77777777" w:rsidR="0068419F" w:rsidRDefault="0068419F">
      <w:pPr>
        <w:spacing w:after="0"/>
      </w:pPr>
      <w:r>
        <w:separator/>
      </w:r>
    </w:p>
  </w:endnote>
  <w:endnote w:type="continuationSeparator" w:id="0">
    <w:p w14:paraId="594CA45C" w14:textId="77777777" w:rsidR="0068419F" w:rsidRDefault="00684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94587" w14:textId="77777777" w:rsidR="0068419F" w:rsidRDefault="0068419F">
      <w:r>
        <w:separator/>
      </w:r>
    </w:p>
  </w:footnote>
  <w:footnote w:type="continuationSeparator" w:id="0">
    <w:p w14:paraId="172EDC53" w14:textId="77777777" w:rsidR="0068419F" w:rsidRDefault="00684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44E92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0A30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37878409">
    <w:abstractNumId w:val="0"/>
  </w:num>
  <w:num w:numId="2" w16cid:durableId="1855654910">
    <w:abstractNumId w:val="1"/>
  </w:num>
  <w:num w:numId="3" w16cid:durableId="99333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0D70"/>
    <w:rsid w:val="00005B67"/>
    <w:rsid w:val="00460D70"/>
    <w:rsid w:val="004A1D63"/>
    <w:rsid w:val="00602300"/>
    <w:rsid w:val="0068183B"/>
    <w:rsid w:val="0068419F"/>
    <w:rsid w:val="008A768B"/>
    <w:rsid w:val="008D0685"/>
    <w:rsid w:val="00B7628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9FA5"/>
  <w15:docId w15:val="{1FC26893-B758-42E5-83D7-1687065F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264842">
      <w:bodyDiv w:val="1"/>
      <w:marLeft w:val="0"/>
      <w:marRight w:val="0"/>
      <w:marTop w:val="0"/>
      <w:marBottom w:val="0"/>
      <w:divBdr>
        <w:top w:val="none" w:sz="0" w:space="0" w:color="auto"/>
        <w:left w:val="none" w:sz="0" w:space="0" w:color="auto"/>
        <w:bottom w:val="none" w:sz="0" w:space="0" w:color="auto"/>
        <w:right w:val="none" w:sz="0" w:space="0" w:color="auto"/>
      </w:divBdr>
      <w:divsChild>
        <w:div w:id="1339424902">
          <w:marLeft w:val="0"/>
          <w:marRight w:val="0"/>
          <w:marTop w:val="0"/>
          <w:marBottom w:val="0"/>
          <w:divBdr>
            <w:top w:val="none" w:sz="0" w:space="0" w:color="auto"/>
            <w:left w:val="none" w:sz="0" w:space="0" w:color="auto"/>
            <w:bottom w:val="none" w:sz="0" w:space="0" w:color="auto"/>
            <w:right w:val="none" w:sz="0" w:space="0" w:color="auto"/>
          </w:divBdr>
          <w:divsChild>
            <w:div w:id="3073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2828">
      <w:bodyDiv w:val="1"/>
      <w:marLeft w:val="0"/>
      <w:marRight w:val="0"/>
      <w:marTop w:val="0"/>
      <w:marBottom w:val="0"/>
      <w:divBdr>
        <w:top w:val="none" w:sz="0" w:space="0" w:color="auto"/>
        <w:left w:val="none" w:sz="0" w:space="0" w:color="auto"/>
        <w:bottom w:val="none" w:sz="0" w:space="0" w:color="auto"/>
        <w:right w:val="none" w:sz="0" w:space="0" w:color="auto"/>
      </w:divBdr>
      <w:divsChild>
        <w:div w:id="1787848283">
          <w:marLeft w:val="0"/>
          <w:marRight w:val="0"/>
          <w:marTop w:val="0"/>
          <w:marBottom w:val="0"/>
          <w:divBdr>
            <w:top w:val="none" w:sz="0" w:space="0" w:color="auto"/>
            <w:left w:val="none" w:sz="0" w:space="0" w:color="auto"/>
            <w:bottom w:val="none" w:sz="0" w:space="0" w:color="auto"/>
            <w:right w:val="none" w:sz="0" w:space="0" w:color="auto"/>
          </w:divBdr>
          <w:divsChild>
            <w:div w:id="137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2635</Words>
  <Characters>15026</Characters>
  <Application>Microsoft Office Word</Application>
  <DocSecurity>0</DocSecurity>
  <Lines>125</Lines>
  <Paragraphs>35</Paragraphs>
  <ScaleCrop>false</ScaleCrop>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Luki Unterschütz</cp:lastModifiedBy>
  <cp:revision>6</cp:revision>
  <dcterms:created xsi:type="dcterms:W3CDTF">2025-05-10T13:20:00Z</dcterms:created>
  <dcterms:modified xsi:type="dcterms:W3CDTF">2025-05-11T12:22:00Z</dcterms:modified>
</cp:coreProperties>
</file>