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WKicker"/>
      </w:pPr>
      <w:r>
        <w:rPr>
          <w:rFonts w:ascii="Calibri" w:hAnsi="Calibri" w:eastAsia="Calibri"/>
          <w:b/>
          <w:i w:val="0"/>
          <w:color w:val="2E74B5"/>
          <w:sz w:val="18"/>
        </w:rPr>
        <w:t>PROXY WAR  •  COLLABORATION BRIEF</w:t>
      </w:r>
    </w:p>
    <w:p>
      <w:pPr>
        <w:pStyle w:val="Title"/>
        <w:spacing w:before="500"/>
      </w:pPr>
      <w:r>
        <w:t>Let’s Play Proxy War</w:t>
      </w:r>
    </w:p>
    <w:p>
      <w:pPr>
        <w:pStyle w:val="Subtitle"/>
        <w:pBdr>
          <w:bottom w:val="single" w:sz="10" w:space="10" w:color="2E74B5"/>
        </w:pBdr>
      </w:pPr>
      <w:r>
        <w:t>From a working starter policy to replay-driven improvement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EEF5FB" w:val="clear"/>
            <w:tcBorders>
              <w:start w:val="single" w:sz="16" w:color="2E74B5"/>
              <w:top w:val="nil"/>
              <w:bottom w:val="nil"/>
              <w:end w:val="nil"/>
            </w:tcBorders>
          </w:tcPr>
          <w:p>
            <w:pPr>
              <w:keepNext/>
              <w:spacing w:after="60"/>
            </w:pPr>
            <w:r>
              <w:rPr>
                <w:rFonts w:ascii="Calibri" w:hAnsi="Calibri" w:eastAsia="Calibri"/>
                <w:b/>
                <w:i w:val="0"/>
                <w:color w:val="2E74B5"/>
                <w:sz w:val="21"/>
              </w:rPr>
              <w:t>Recommendation</w:t>
            </w:r>
          </w:p>
          <w:p>
            <w:pPr>
              <w:spacing w:after="0" w:line="276" w:lineRule="auto"/>
            </w:pPr>
            <w:r>
              <w:rPr>
                <w:rFonts w:ascii="Calibri" w:hAnsi="Calibri" w:eastAsia="Calibri"/>
                <w:b w:val="0"/>
                <w:i w:val="0"/>
                <w:color w:val="0B2545"/>
                <w:sz w:val="20"/>
              </w:rPr>
              <w:t>Yes—the CrewRift learning format is the right shape for Proxy War. The hard infrastructure already exists. The opportunity is to connect it into one coherent, executable journey: understand a decision, change a policy, prove the choice is legal, run a match, inspect the replay, and improve one thing.</w:t>
            </w:r>
          </w:p>
        </w:tc>
      </w:tr>
    </w:tbl>
    <w:p>
      <w:pPr>
        <w:spacing w:after="0"/>
      </w:pPr>
    </w:p>
    <w:tbl>
      <w:tblPr>
        <w:tblW w:type="dxa" w:w="9360"/>
        <w:jc w:val="left"/>
        <w:tblLayout w:type="fixed"/>
        <w:tblLook w:firstColumn="1" w:firstRow="1" w:lastColumn="0" w:lastRow="0" w:noHBand="0" w:noVBand="1" w:val="04A0"/>
        <w:tblInd w:w="120" w:type="dxa"/>
      </w:tblPr>
      <w:tblGrid>
        <w:gridCol w:w="3120"/>
        <w:gridCol w:w="3120"/>
        <w:gridCol w:w="3120"/>
      </w:tblGrid>
      <w:tr>
        <w:trPr>
          <w:cantSplit/>
        </w:trPr>
        <w:tc>
          <w:tcPr>
            <w:tcW w:type="dxa" w:w="3120"/>
            <w:tcMar>
              <w:top w:w="130" w:type="dxa"/>
              <w:start w:w="120" w:type="dxa"/>
              <w:bottom w:w="130" w:type="dxa"/>
              <w:end w:w="120" w:type="dxa"/>
            </w:tcMar>
            <w:vAlign w:val="center"/>
            <w:shd w:fill="EEF5FB" w:val="clear"/>
            <w:tcBorders>
              <w:top w:val="single" w:sz="5" w:color="C9D5E3"/>
              <w:bottom w:val="single" w:sz="5" w:color="C9D5E3"/>
              <w:start w:val="single" w:sz="5" w:color="C9D5E3"/>
              <w:end w:val="single" w:sz="5" w:color="C9D5E3"/>
            </w:tcBorders>
          </w:tcPr>
          <w:p>
            <w:pPr>
              <w:spacing w:after="100"/>
            </w:pPr>
            <w:r>
              <w:rPr>
                <w:rFonts w:ascii="Calibri" w:hAnsi="Calibri" w:eastAsia="Calibri"/>
                <w:b/>
                <w:i w:val="0"/>
                <w:color w:val="1F4D78"/>
                <w:sz w:val="20"/>
              </w:rPr>
              <w:t>FOUNDATION</w:t>
            </w:r>
          </w:p>
          <w:p>
            <w:pPr>
              <w:spacing w:after="0" w:line="269" w:lineRule="auto"/>
            </w:pPr>
            <w:r>
              <w:rPr>
                <w:rFonts w:ascii="Calibri" w:hAnsi="Calibri" w:eastAsia="Calibri"/>
                <w:b w:val="0"/>
                <w:i w:val="0"/>
                <w:color w:val="0B2545"/>
                <w:sz w:val="18"/>
              </w:rPr>
              <w:t>Starter policies, a legal-action contract, packaging and upload tooling, the canonical match runtime, replays, and decision evidence.</w:t>
            </w:r>
          </w:p>
        </w:tc>
        <w:tc>
          <w:tcPr>
            <w:tcW w:type="dxa" w:w="3120"/>
            <w:tcMar>
              <w:top w:w="130" w:type="dxa"/>
              <w:start w:w="120" w:type="dxa"/>
              <w:bottom w:w="130" w:type="dxa"/>
              <w:end w:w="120" w:type="dxa"/>
            </w:tcMar>
            <w:vAlign w:val="center"/>
            <w:shd w:fill="F4F6F9" w:val="clear"/>
            <w:tcBorders>
              <w:top w:val="single" w:sz="5" w:color="C9D5E3"/>
              <w:bottom w:val="single" w:sz="5" w:color="C9D5E3"/>
              <w:start w:val="single" w:sz="5" w:color="C9D5E3"/>
              <w:end w:val="single" w:sz="5" w:color="C9D5E3"/>
            </w:tcBorders>
          </w:tcPr>
          <w:p>
            <w:pPr>
              <w:spacing w:after="100"/>
            </w:pPr>
            <w:r>
              <w:rPr>
                <w:rFonts w:ascii="Calibri" w:hAnsi="Calibri" w:eastAsia="Calibri"/>
                <w:b/>
                <w:i w:val="0"/>
                <w:color w:val="1F4D78"/>
                <w:sz w:val="20"/>
              </w:rPr>
              <w:t>MISSING LAYER</w:t>
            </w:r>
          </w:p>
          <w:p>
            <w:pPr>
              <w:spacing w:after="0" w:line="269" w:lineRule="auto"/>
            </w:pPr>
            <w:r>
              <w:rPr>
                <w:rFonts w:ascii="Calibri" w:hAnsi="Calibri" w:eastAsia="Calibri"/>
                <w:b w:val="0"/>
                <w:i w:val="0"/>
                <w:color w:val="0B2545"/>
                <w:sz w:val="18"/>
              </w:rPr>
              <w:t>A guided experience that makes the whole path visible, runnable, and understandable to someone new to Proxy War.</w:t>
            </w:r>
          </w:p>
        </w:tc>
        <w:tc>
          <w:tcPr>
            <w:tcW w:type="dxa" w:w="3120"/>
            <w:tcMar>
              <w:top w:w="130" w:type="dxa"/>
              <w:start w:w="120" w:type="dxa"/>
              <w:bottom w:w="130" w:type="dxa"/>
              <w:end w:w="120" w:type="dxa"/>
            </w:tcMar>
            <w:vAlign w:val="center"/>
            <w:shd w:fill="EEF5FB" w:val="clear"/>
            <w:tcBorders>
              <w:top w:val="single" w:sz="5" w:color="C9D5E3"/>
              <w:bottom w:val="single" w:sz="5" w:color="C9D5E3"/>
              <w:start w:val="single" w:sz="5" w:color="C9D5E3"/>
              <w:end w:val="single" w:sz="5" w:color="C9D5E3"/>
            </w:tcBorders>
          </w:tcPr>
          <w:p>
            <w:pPr>
              <w:spacing w:after="100"/>
            </w:pPr>
            <w:r>
              <w:rPr>
                <w:rFonts w:ascii="Calibri" w:hAnsi="Calibri" w:eastAsia="Calibri"/>
                <w:b/>
                <w:i w:val="0"/>
                <w:color w:val="1F4D78"/>
                <w:sz w:val="20"/>
              </w:rPr>
              <w:t>THE ASK</w:t>
            </w:r>
          </w:p>
          <w:p>
            <w:pPr>
              <w:spacing w:after="0" w:line="269" w:lineRule="auto"/>
            </w:pPr>
            <w:r>
              <w:rPr>
                <w:rFonts w:ascii="Calibri" w:hAnsi="Calibri" w:eastAsia="Calibri"/>
                <w:b w:val="0"/>
                <w:i w:val="0"/>
                <w:color w:val="0B2545"/>
                <w:sz w:val="18"/>
              </w:rPr>
              <w:t>Adapt the CrewRift play-and-analyze loop as a learning layer over the existing system—not as a new SDK or game implementation.</w:t>
            </w:r>
          </w:p>
        </w:tc>
      </w:tr>
    </w:tbl>
    <w:p>
      <w:pPr>
        <w:spacing w:after="0"/>
      </w:pPr>
    </w:p>
    <w:tbl>
      <w:tblPr>
        <w:tblW w:type="dxa" w:w="9360"/>
        <w:tblLayout w:type="fixed"/>
        <w:tblLook w:firstColumn="1" w:firstRow="1" w:lastColumn="0" w:lastRow="0" w:noHBand="0" w:noVBand="1" w:val="04A0"/>
        <w:jc w:val="left"/>
        <w:tblInd w:w="120" w:type="dxa"/>
      </w:tblPr>
      <w:tblGrid>
        <w:gridCol w:w="2050"/>
        <w:gridCol w:w="7310"/>
      </w:tblGrid>
      <w:tr>
        <w:trPr>
          <w:cantSplit/>
        </w:trPr>
        <w:tc>
          <w:tcPr>
            <w:tcW w:type="dxa" w:w="2050"/>
            <w:tcMar>
              <w:top w:w="80" w:type="dxa"/>
              <w:start w:w="120" w:type="dxa"/>
              <w:bottom w:w="80" w:type="dxa"/>
              <w:end w:w="120" w:type="dxa"/>
            </w:tcMar>
            <w:vAlign w:val="center"/>
            <w:shd w:fill="E8EEF5" w:val="clear"/>
          </w:tcPr>
          <w:p>
            <w:pPr>
              <w:spacing w:after="0" w:line="269" w:lineRule="auto"/>
            </w:pPr>
            <w:r/>
            <w:r>
              <w:rPr>
                <w:rFonts w:ascii="Calibri" w:hAnsi="Calibri"/>
                <w:b/>
                <w:color w:val="1F4D78"/>
                <w:sz w:val="17"/>
              </w:rPr>
              <w:t>PURPOSE</w:t>
            </w:r>
          </w:p>
        </w:tc>
        <w:tc>
          <w:tcPr>
            <w:tcW w:type="dxa" w:w="7310"/>
            <w:tcMar>
              <w:top w:w="80" w:type="dxa"/>
              <w:start w:w="120" w:type="dxa"/>
              <w:bottom w:w="80" w:type="dxa"/>
              <w:end w:w="120" w:type="dxa"/>
            </w:tcMar>
            <w:vAlign w:val="center"/>
            <w:shd w:fill="FFFFFF" w:val="clear"/>
          </w:tcPr>
          <w:p>
            <w:pPr>
              <w:spacing w:after="0" w:line="269" w:lineRule="auto"/>
            </w:pPr>
            <w:r/>
            <w:r>
              <w:rPr>
                <w:rFonts w:ascii="Calibri" w:hAnsi="Calibri"/>
                <w:b w:val="0"/>
                <w:color w:val="0B2545"/>
                <w:sz w:val="18"/>
              </w:rPr>
              <w:t>Align on the desired notebook experience and the materials already available.</w:t>
            </w:r>
          </w:p>
        </w:tc>
      </w:tr>
      <w:tr>
        <w:trPr>
          <w:cantSplit/>
        </w:trPr>
        <w:tc>
          <w:tcPr>
            <w:tcW w:type="dxa" w:w="2050"/>
            <w:tcMar>
              <w:top w:w="80" w:type="dxa"/>
              <w:start w:w="120" w:type="dxa"/>
              <w:bottom w:w="80" w:type="dxa"/>
              <w:end w:w="120" w:type="dxa"/>
            </w:tcMar>
            <w:vAlign w:val="center"/>
            <w:shd w:fill="E8EEF5" w:val="clear"/>
          </w:tcPr>
          <w:p>
            <w:pPr>
              <w:spacing w:after="0" w:line="269" w:lineRule="auto"/>
            </w:pPr>
            <w:r/>
            <w:r>
              <w:rPr>
                <w:rFonts w:ascii="Calibri" w:hAnsi="Calibri"/>
                <w:b/>
                <w:color w:val="1F4D78"/>
                <w:sz w:val="17"/>
              </w:rPr>
              <w:t>AUDIENCE</w:t>
            </w:r>
          </w:p>
        </w:tc>
        <w:tc>
          <w:tcPr>
            <w:tcW w:type="dxa" w:w="7310"/>
            <w:tcMar>
              <w:top w:w="80" w:type="dxa"/>
              <w:start w:w="120" w:type="dxa"/>
              <w:bottom w:w="80" w:type="dxa"/>
              <w:end w:w="120" w:type="dxa"/>
            </w:tcMar>
            <w:vAlign w:val="center"/>
            <w:shd w:fill="FFFFFF" w:val="clear"/>
          </w:tcPr>
          <w:p>
            <w:pPr>
              <w:spacing w:after="0" w:line="269" w:lineRule="auto"/>
            </w:pPr>
            <w:r/>
            <w:r>
              <w:rPr>
                <w:rFonts w:ascii="Calibri" w:hAnsi="Calibri"/>
                <w:b w:val="0"/>
                <w:color w:val="0B2545"/>
                <w:sz w:val="18"/>
              </w:rPr>
              <w:t>A technical learning-experience collaborator familiar with notebooks, containers, and agents; no prior Proxy War context assumed.</w:t>
            </w:r>
          </w:p>
        </w:tc>
      </w:tr>
      <w:tr>
        <w:trPr>
          <w:cantSplit/>
        </w:trPr>
        <w:tc>
          <w:tcPr>
            <w:tcW w:type="dxa" w:w="2050"/>
            <w:tcMar>
              <w:top w:w="80" w:type="dxa"/>
              <w:start w:w="120" w:type="dxa"/>
              <w:bottom w:w="80" w:type="dxa"/>
              <w:end w:w="120" w:type="dxa"/>
            </w:tcMar>
            <w:vAlign w:val="center"/>
            <w:shd w:fill="E8EEF5" w:val="clear"/>
          </w:tcPr>
          <w:p>
            <w:pPr>
              <w:spacing w:after="0" w:line="269" w:lineRule="auto"/>
            </w:pPr>
            <w:r/>
            <w:r>
              <w:rPr>
                <w:rFonts w:ascii="Calibri" w:hAnsi="Calibri"/>
                <w:b/>
                <w:color w:val="1F4D78"/>
                <w:sz w:val="17"/>
              </w:rPr>
              <w:t>STATUS</w:t>
            </w:r>
          </w:p>
        </w:tc>
        <w:tc>
          <w:tcPr>
            <w:tcW w:type="dxa" w:w="7310"/>
            <w:tcMar>
              <w:top w:w="80" w:type="dxa"/>
              <w:start w:w="120" w:type="dxa"/>
              <w:bottom w:w="80" w:type="dxa"/>
              <w:end w:w="120" w:type="dxa"/>
            </w:tcMar>
            <w:vAlign w:val="center"/>
            <w:shd w:fill="FFFFFF" w:val="clear"/>
          </w:tcPr>
          <w:p>
            <w:pPr>
              <w:spacing w:after="0" w:line="269" w:lineRule="auto"/>
            </w:pPr>
            <w:r/>
            <w:r>
              <w:rPr>
                <w:rFonts w:ascii="Calibri" w:hAnsi="Calibri"/>
                <w:b w:val="0"/>
                <w:color w:val="0B2545"/>
                <w:sz w:val="18"/>
              </w:rPr>
              <w:t>External-shareable working brief • Stable protocol facts separated from live service details.</w:t>
            </w:r>
          </w:p>
        </w:tc>
      </w:tr>
    </w:tbl>
    <w:p>
      <w:pPr>
        <w:spacing w:after="0"/>
      </w:pPr>
      <w:r>
        <w:br w:type="page"/>
      </w:r>
    </w:p>
    <w:p>
      <w:pPr>
        <w:pStyle w:val="PWLabel"/>
      </w:pPr>
      <w:r>
        <w:rPr>
          <w:rFonts w:ascii="Calibri" w:hAnsi="Calibri" w:eastAsia="Calibri"/>
          <w:b/>
          <w:i w:val="0"/>
          <w:color w:val="2E74B5"/>
          <w:sz w:val="16"/>
        </w:rPr>
        <w:t>PROPOSED  /  CONTEXT AND RECOMMENDATION</w:t>
      </w:r>
    </w:p>
    <w:p>
      <w:pPr>
        <w:pStyle w:val="Heading1"/>
      </w:pPr>
      <w:r>
        <w:t>1. The opportunity</w:t>
      </w:r>
    </w:p>
    <w:p>
      <w:pPr>
        <w:keepLines/>
      </w:pPr>
      <w:r>
        <w:rPr>
          <w:rFonts w:ascii="Calibri" w:hAnsi="Calibri" w:eastAsia="Calibri"/>
          <w:b w:val="0"/>
          <w:i w:val="0"/>
          <w:color w:val="0B2545"/>
          <w:sz w:val="21"/>
        </w:rPr>
        <w:t>The useful part of CrewRift’s “Let’s Play” notebook is its learning loop: contract → working policy → offline examples → packaged agent → real game → replay → one controlled improvement. Proxy War already has each technical piece. What it lacks is one polished path across them.</w:t>
      </w:r>
    </w:p>
    <w:p>
      <w:pPr>
        <w:keepLines/>
      </w:pPr>
      <w:r>
        <w:rPr>
          <w:rFonts w:ascii="Calibri" w:hAnsi="Calibri" w:eastAsia="Calibri"/>
          <w:b w:val="0"/>
          <w:i w:val="0"/>
          <w:color w:val="0B2545"/>
          <w:sz w:val="21"/>
        </w:rPr>
        <w:t>The notebook should expose and orchestrate the system we have. It should not generate a parallel client, rewrite the protocol in Python, or introduce a second validator or runner.</w:t>
      </w:r>
    </w:p>
    <w:tbl>
      <w:tblPr>
        <w:tblW w:type="dxa" w:w="9360"/>
        <w:jc w:val="left"/>
        <w:tblLayout w:type="fixed"/>
        <w:tblLook w:firstColumn="1" w:firstRow="1" w:lastColumn="0" w:lastRow="0" w:noHBand="0" w:noVBand="1" w:val="04A0"/>
        <w:tblInd w:w="120" w:type="dxa"/>
      </w:tblPr>
      <w:tblGrid>
        <w:gridCol w:w="3120"/>
        <w:gridCol w:w="3120"/>
        <w:gridCol w:w="3120"/>
      </w:tblGrid>
      <w:tr>
        <w:trPr>
          <w:cantSplit/>
        </w:trPr>
        <w:tc>
          <w:tcPr>
            <w:tcW w:type="dxa" w:w="3120"/>
            <w:tcMar>
              <w:top w:w="130" w:type="dxa"/>
              <w:start w:w="120" w:type="dxa"/>
              <w:bottom w:w="130" w:type="dxa"/>
              <w:end w:w="120" w:type="dxa"/>
            </w:tcMar>
            <w:vAlign w:val="center"/>
            <w:shd w:fill="EEF5FB" w:val="clear"/>
            <w:tcBorders>
              <w:top w:val="single" w:sz="5" w:color="C9D5E3"/>
              <w:bottom w:val="single" w:sz="5" w:color="C9D5E3"/>
              <w:start w:val="single" w:sz="5" w:color="C9D5E3"/>
              <w:end w:val="single" w:sz="5" w:color="C9D5E3"/>
            </w:tcBorders>
          </w:tcPr>
          <w:p>
            <w:pPr>
              <w:spacing w:after="100"/>
            </w:pPr>
            <w:r>
              <w:rPr>
                <w:rFonts w:ascii="Calibri" w:hAnsi="Calibri" w:eastAsia="Calibri"/>
                <w:b/>
                <w:i w:val="0"/>
                <w:color w:val="1F4D78"/>
                <w:sz w:val="20"/>
              </w:rPr>
              <w:t>KEEP</w:t>
            </w:r>
          </w:p>
          <w:p>
            <w:pPr>
              <w:spacing w:after="0" w:line="269" w:lineRule="auto"/>
            </w:pPr>
            <w:r>
              <w:rPr>
                <w:rFonts w:ascii="Calibri" w:hAnsi="Calibri" w:eastAsia="Calibri"/>
                <w:b w:val="0"/>
                <w:i w:val="0"/>
                <w:color w:val="0B2545"/>
                <w:sz w:val="18"/>
              </w:rPr>
              <w:t>Progressive explanation, editable examples, frozen scenarios, a clean run, replay analysis, and a clear next experiment.</w:t>
            </w:r>
          </w:p>
        </w:tc>
        <w:tc>
          <w:tcPr>
            <w:tcW w:type="dxa" w:w="3120"/>
            <w:tcMar>
              <w:top w:w="130" w:type="dxa"/>
              <w:start w:w="120" w:type="dxa"/>
              <w:bottom w:w="130" w:type="dxa"/>
              <w:end w:w="120" w:type="dxa"/>
            </w:tcMar>
            <w:vAlign w:val="center"/>
            <w:shd w:fill="F4F6F9" w:val="clear"/>
            <w:tcBorders>
              <w:top w:val="single" w:sz="5" w:color="C9D5E3"/>
              <w:bottom w:val="single" w:sz="5" w:color="C9D5E3"/>
              <w:start w:val="single" w:sz="5" w:color="C9D5E3"/>
              <w:end w:val="single" w:sz="5" w:color="C9D5E3"/>
            </w:tcBorders>
          </w:tcPr>
          <w:p>
            <w:pPr>
              <w:spacing w:after="100"/>
            </w:pPr>
            <w:r>
              <w:rPr>
                <w:rFonts w:ascii="Calibri" w:hAnsi="Calibri" w:eastAsia="Calibri"/>
                <w:b/>
                <w:i w:val="0"/>
                <w:color w:val="1F4D78"/>
                <w:sz w:val="20"/>
              </w:rPr>
              <w:t>ADAPT</w:t>
            </w:r>
          </w:p>
          <w:p>
            <w:pPr>
              <w:spacing w:after="0" w:line="269" w:lineRule="auto"/>
            </w:pPr>
            <w:r>
              <w:rPr>
                <w:rFonts w:ascii="Calibri" w:hAnsi="Calibri" w:eastAsia="Calibri"/>
                <w:b w:val="0"/>
                <w:i w:val="0"/>
                <w:color w:val="0B2545"/>
                <w:sz w:val="18"/>
              </w:rPr>
              <w:t>Replace CrewRift-specific actions and fixtures with Proxy War observations, offered legal actions, replays, and telemetry.</w:t>
            </w:r>
          </w:p>
        </w:tc>
        <w:tc>
          <w:tcPr>
            <w:tcW w:type="dxa" w:w="3120"/>
            <w:tcMar>
              <w:top w:w="130" w:type="dxa"/>
              <w:start w:w="120" w:type="dxa"/>
              <w:bottom w:w="130" w:type="dxa"/>
              <w:end w:w="120" w:type="dxa"/>
            </w:tcMar>
            <w:vAlign w:val="center"/>
            <w:shd w:fill="EEF5FB" w:val="clear"/>
            <w:tcBorders>
              <w:top w:val="single" w:sz="5" w:color="C9D5E3"/>
              <w:bottom w:val="single" w:sz="5" w:color="C9D5E3"/>
              <w:start w:val="single" w:sz="5" w:color="C9D5E3"/>
              <w:end w:val="single" w:sz="5" w:color="C9D5E3"/>
            </w:tcBorders>
          </w:tcPr>
          <w:p>
            <w:pPr>
              <w:spacing w:after="100"/>
            </w:pPr>
            <w:r>
              <w:rPr>
                <w:rFonts w:ascii="Calibri" w:hAnsi="Calibri" w:eastAsia="Calibri"/>
                <w:b/>
                <w:i w:val="0"/>
                <w:color w:val="1F4D78"/>
                <w:sz w:val="20"/>
              </w:rPr>
              <w:t>AVOID</w:t>
            </w:r>
          </w:p>
          <w:p>
            <w:pPr>
              <w:spacing w:after="0" w:line="269" w:lineRule="auto"/>
            </w:pPr>
            <w:r>
              <w:rPr>
                <w:rFonts w:ascii="Calibri" w:hAnsi="Calibri" w:eastAsia="Calibri"/>
                <w:b w:val="0"/>
                <w:i w:val="0"/>
                <w:color w:val="0B2545"/>
                <w:sz w:val="18"/>
              </w:rPr>
              <w:t>Hard-coded league IDs, unpinned environments, notebook-only protocol code, hidden fallbacks, or publishing from “Run All.”</w:t>
            </w:r>
          </w:p>
        </w:tc>
      </w:tr>
    </w:tbl>
    <w:p>
      <w:pPr>
        <w:spacing w:after="0"/>
      </w:pPr>
    </w:p>
    <w:p>
      <w:pPr>
        <w:pStyle w:val="PWLabel"/>
      </w:pPr>
      <w:r>
        <w:rPr>
          <w:rFonts w:ascii="Calibri" w:hAnsi="Calibri" w:eastAsia="Calibri"/>
          <w:b/>
          <w:i w:val="0"/>
          <w:color w:val="2F6B55"/>
          <w:sz w:val="16"/>
        </w:rPr>
        <w:t>REPOSITORY-VERIFIED  /  PRODUCT AND CONTRACT</w:t>
      </w:r>
    </w:p>
    <w:p>
      <w:pPr>
        <w:pStyle w:val="Heading1"/>
      </w:pPr>
      <w:r>
        <w:t>2. Proxy War in 60 seconds</w:t>
      </w:r>
    </w:p>
    <w:p>
      <w:pPr>
        <w:keepLines/>
      </w:pPr>
      <w:r>
        <w:rPr>
          <w:rFonts w:ascii="Calibri" w:hAnsi="Calibri" w:eastAsia="Calibri"/>
          <w:b w:val="0"/>
          <w:i w:val="0"/>
          <w:color w:val="0B2545"/>
          <w:sz w:val="21"/>
        </w:rPr>
        <w:t>Proxy War is an autonomous strategy game in which software agents claim territory, build an economy, form alliances, attack rivals, and play complete matches without human input. An agent—called a policy—runs in its own container. At each decision, it receives the current observation and a list of actions that are legal now.</w:t>
      </w:r>
    </w:p>
    <w:p>
      <w:pPr>
        <w:spacing w:before="80" w:after="100"/>
        <w:jc w:val="center"/>
      </w:pPr>
      <w:r>
        <w:drawing>
          <wp:inline xmlns:a="http://schemas.openxmlformats.org/drawingml/2006/main" xmlns:pic="http://schemas.openxmlformats.org/drawingml/2006/picture">
            <wp:extent cx="5806440" cy="1258062"/>
            <wp:docPr id="1" name="Picture 1" title="Proxy War decision flow" descr="Five-step flow: the game sends an observation and legal actions; the policy selects one offered action ID; the canonical validator and runner check and execute it; the GameServer runs the match; results and a replay are produced for inspection."/>
            <wp:cNvGraphicFramePr>
              <a:graphicFrameLocks noChangeAspect="1"/>
            </wp:cNvGraphicFramePr>
            <a:graphic>
              <a:graphicData uri="http://schemas.openxmlformats.org/drawingml/2006/picture">
                <pic:pic>
                  <pic:nvPicPr>
                    <pic:cNvPr id="0" name="proxywar_decision_flow.png"/>
                    <pic:cNvPicPr/>
                  </pic:nvPicPr>
                  <pic:blipFill>
                    <a:blip r:embed="rId13"/>
                    <a:stretch>
                      <a:fillRect/>
                    </a:stretch>
                  </pic:blipFill>
                  <pic:spPr>
                    <a:xfrm>
                      <a:off x="0" y="0"/>
                      <a:ext cx="5806440" cy="1258062"/>
                    </a:xfrm>
                    <a:prstGeom prst="rect"/>
                  </pic:spPr>
                </pic:pic>
              </a:graphicData>
            </a:graphic>
          </wp:inline>
        </w:drawing>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EEF5FB" w:val="clear"/>
            <w:tcBorders>
              <w:start w:val="single" w:sz="16" w:color="2E74B5"/>
              <w:top w:val="nil"/>
              <w:bottom w:val="nil"/>
              <w:end w:val="nil"/>
            </w:tcBorders>
          </w:tcPr>
          <w:p>
            <w:pPr>
              <w:keepNext/>
              <w:spacing w:after="60"/>
            </w:pPr>
            <w:r>
              <w:rPr>
                <w:rFonts w:ascii="Calibri" w:hAnsi="Calibri" w:eastAsia="Calibri"/>
                <w:b/>
                <w:i w:val="0"/>
                <w:color w:val="2E74B5"/>
                <w:sz w:val="21"/>
              </w:rPr>
              <w:t>The one rule that matters</w:t>
            </w:r>
          </w:p>
          <w:p>
            <w:pPr>
              <w:spacing w:after="0" w:line="276" w:lineRule="auto"/>
            </w:pPr>
            <w:r>
              <w:rPr>
                <w:rFonts w:ascii="Calibri" w:hAnsi="Calibri" w:eastAsia="Calibri"/>
                <w:b w:val="0"/>
                <w:i w:val="0"/>
                <w:color w:val="0B2545"/>
                <w:sz w:val="20"/>
              </w:rPr>
              <w:t>A policy selects one exact LegalAction.id from the list it was offered. It never constructs or sends a raw game-engine intent. An invented or stale ID is rejected by the existing validator.</w:t>
            </w:r>
          </w:p>
        </w:tc>
      </w:tr>
    </w:tbl>
    <w:p>
      <w:pPr>
        <w:spacing w:after="0"/>
      </w:pPr>
    </w:p>
    <w:p>
      <w:pPr>
        <w:spacing w:after="0"/>
      </w:pPr>
      <w:r>
        <w:br w:type="page"/>
      </w:r>
    </w:p>
    <w:p>
      <w:pPr>
        <w:pStyle w:val="PWLabel"/>
      </w:pPr>
      <w:r>
        <w:rPr>
          <w:rFonts w:ascii="Calibri" w:hAnsi="Calibri" w:eastAsia="Calibri"/>
          <w:b/>
          <w:i w:val="0"/>
          <w:color w:val="2F6B55"/>
          <w:sz w:val="16"/>
        </w:rPr>
        <w:t>REPOSITORY-VERIFIED  /  PUBLIC REPOSITORY INVENTORY</w:t>
      </w:r>
    </w:p>
    <w:p>
      <w:pPr>
        <w:pStyle w:val="Heading1"/>
      </w:pPr>
      <w:r>
        <w:t>3. What already exists</w:t>
      </w:r>
    </w:p>
    <w:p>
      <w:pPr>
        <w:keepLines/>
      </w:pPr>
      <w:r>
        <w:rPr>
          <w:rFonts w:ascii="Calibri" w:hAnsi="Calibri" w:eastAsia="Calibri"/>
          <w:b w:val="0"/>
          <w:i w:val="0"/>
          <w:color w:val="0B2545"/>
          <w:sz w:val="21"/>
        </w:rPr>
        <w:t>The material is substantial. The missing piece is a guided experience across it—not another protocol or starter implementation.</w:t>
      </w:r>
    </w:p>
    <w:tbl>
      <w:tblPr>
        <w:tblStyle w:val="TableGrid"/>
        <w:tblW w:type="dxa" w:w="9360"/>
        <w:tblLayout w:type="fixed"/>
        <w:tblLook w:firstColumn="1" w:firstRow="1" w:lastColumn="0" w:lastRow="0" w:noHBand="0" w:noVBand="1" w:val="04A0"/>
        <w:jc w:val="left"/>
        <w:tblInd w:w="120" w:type="dxa"/>
      </w:tblPr>
      <w:tblGrid>
        <w:gridCol w:w="2050"/>
        <w:gridCol w:w="3860"/>
        <w:gridCol w:w="3450"/>
      </w:tblGrid>
      <w:tr>
        <w:trPr>
          <w:cantSplit/>
          <w:tblHeader w:val="true"/>
          <w:tblHeader w:val="true"/>
        </w:trPr>
        <w:tc>
          <w:tcPr>
            <w:tcW w:type="dxa" w:w="205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Asset</w:t>
            </w:r>
          </w:p>
        </w:tc>
        <w:tc>
          <w:tcPr>
            <w:tcW w:type="dxa" w:w="386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What it provides</w:t>
            </w:r>
          </w:p>
        </w:tc>
        <w:tc>
          <w:tcPr>
            <w:tcW w:type="dxa" w:w="345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Notebook role</w:t>
            </w:r>
          </w:p>
        </w:tc>
      </w:tr>
      <w:tr>
        <w:trPr>
          <w:cantSplit/>
        </w:trPr>
        <w:tc>
          <w:tcPr>
            <w:tcW w:type="dxa" w:w="2050"/>
            <w:tcMar>
              <w:top w:w="80" w:type="dxa"/>
              <w:start w:w="120" w:type="dxa"/>
              <w:bottom w:w="80" w:type="dxa"/>
              <w:end w:w="120" w:type="dxa"/>
            </w:tcMar>
            <w:vAlign w:val="center"/>
          </w:tcPr>
          <w:p>
            <w:pPr>
              <w:spacing w:after="0" w:line="269" w:lineRule="auto"/>
            </w:pPr>
            <w:r/>
            <w:r>
              <w:rPr>
                <w:rFonts w:ascii="Calibri" w:hAnsi="Calibri"/>
                <w:b w:val="0"/>
                <w:color w:val="0B2545"/>
                <w:sz w:val="18"/>
              </w:rPr>
              <w:t>Starter README + onboarding</w:t>
            </w:r>
          </w:p>
        </w:tc>
        <w:tc>
          <w:tcPr>
            <w:tcW w:type="dxa" w:w="3860"/>
            <w:tcMar>
              <w:top w:w="80" w:type="dxa"/>
              <w:start w:w="120" w:type="dxa"/>
              <w:bottom w:w="80" w:type="dxa"/>
              <w:end w:w="120" w:type="dxa"/>
            </w:tcMar>
            <w:vAlign w:val="center"/>
          </w:tcPr>
          <w:p>
            <w:pPr>
              <w:spacing w:after="0" w:line="269" w:lineRule="auto"/>
            </w:pPr>
            <w:r/>
            <w:r>
              <w:rPr>
                <w:rFonts w:ascii="Calibri" w:hAnsi="Calibri"/>
                <w:b w:val="0"/>
                <w:color w:val="0B2545"/>
                <w:sz w:val="18"/>
              </w:rPr>
              <w:t>Public landing page and first-policy walkthrough.</w:t>
            </w:r>
          </w:p>
        </w:tc>
        <w:tc>
          <w:tcPr>
            <w:tcW w:type="dxa" w:w="3450"/>
            <w:tcMar>
              <w:top w:w="80" w:type="dxa"/>
              <w:start w:w="120" w:type="dxa"/>
              <w:bottom w:w="80" w:type="dxa"/>
              <w:end w:w="120" w:type="dxa"/>
            </w:tcMar>
            <w:vAlign w:val="center"/>
          </w:tcPr>
          <w:p>
            <w:pPr>
              <w:spacing w:after="0" w:line="269" w:lineRule="auto"/>
            </w:pPr>
            <w:r/>
            <w:r>
              <w:rPr>
                <w:rFonts w:ascii="Calibri" w:hAnsi="Calibri"/>
                <w:b w:val="0"/>
                <w:color w:val="0B2545"/>
                <w:sz w:val="18"/>
              </w:rPr>
              <w:t>Orient the learner; link out for setup details.</w:t>
            </w:r>
          </w:p>
        </w:tc>
      </w:tr>
      <w:tr>
        <w:trPr>
          <w:cantSplit/>
        </w:trPr>
        <w:tc>
          <w:tcPr>
            <w:tcW w:type="dxa" w:w="2050"/>
            <w:tcMar>
              <w:top w:w="80" w:type="dxa"/>
              <w:start w:w="120" w:type="dxa"/>
              <w:bottom w:w="80" w:type="dxa"/>
              <w:end w:w="120" w:type="dxa"/>
            </w:tcMar>
            <w:vAlign w:val="center"/>
          </w:tcPr>
          <w:p>
            <w:pPr>
              <w:spacing w:after="0" w:line="269" w:lineRule="auto"/>
            </w:pPr>
            <w:r/>
            <w:r>
              <w:rPr>
                <w:rFonts w:ascii="Calibri" w:hAnsi="Calibri"/>
                <w:b w:val="0"/>
                <w:color w:val="0B2545"/>
                <w:sz w:val="18"/>
              </w:rPr>
              <w:t>llm-player.mjs</w:t>
            </w:r>
          </w:p>
        </w:tc>
        <w:tc>
          <w:tcPr>
            <w:tcW w:type="dxa" w:w="3860"/>
            <w:tcMar>
              <w:top w:w="80" w:type="dxa"/>
              <w:start w:w="120" w:type="dxa"/>
              <w:bottom w:w="80" w:type="dxa"/>
              <w:end w:w="120" w:type="dxa"/>
            </w:tcMar>
            <w:vAlign w:val="center"/>
          </w:tcPr>
          <w:p>
            <w:pPr>
              <w:spacing w:after="0" w:line="269" w:lineRule="auto"/>
            </w:pPr>
            <w:r/>
            <w:r>
              <w:rPr>
                <w:rFonts w:ascii="Calibri" w:hAnsi="Calibri"/>
                <w:b w:val="0"/>
                <w:color w:val="0B2545"/>
                <w:sz w:val="18"/>
              </w:rPr>
              <w:t>Editable LLM policy with background planning and guarded action selection.</w:t>
            </w:r>
          </w:p>
        </w:tc>
        <w:tc>
          <w:tcPr>
            <w:tcW w:type="dxa" w:w="3450"/>
            <w:tcMar>
              <w:top w:w="80" w:type="dxa"/>
              <w:start w:w="120" w:type="dxa"/>
              <w:bottom w:w="80" w:type="dxa"/>
              <w:end w:w="120" w:type="dxa"/>
            </w:tcMar>
            <w:vAlign w:val="center"/>
          </w:tcPr>
          <w:p>
            <w:pPr>
              <w:spacing w:after="0" w:line="269" w:lineRule="auto"/>
            </w:pPr>
            <w:r/>
            <w:r>
              <w:rPr>
                <w:rFonts w:ascii="Calibri" w:hAnsi="Calibri"/>
                <w:b w:val="0"/>
                <w:color w:val="0B2545"/>
                <w:sz w:val="18"/>
              </w:rPr>
              <w:t>Expose the three safe customization points.</w:t>
            </w:r>
          </w:p>
        </w:tc>
      </w:tr>
      <w:tr>
        <w:trPr>
          <w:cantSplit/>
        </w:trPr>
        <w:tc>
          <w:tcPr>
            <w:tcW w:type="dxa" w:w="2050"/>
            <w:tcMar>
              <w:top w:w="80" w:type="dxa"/>
              <w:start w:w="120" w:type="dxa"/>
              <w:bottom w:w="80" w:type="dxa"/>
              <w:end w:w="120" w:type="dxa"/>
            </w:tcMar>
            <w:vAlign w:val="center"/>
          </w:tcPr>
          <w:p>
            <w:pPr>
              <w:spacing w:after="0" w:line="269" w:lineRule="auto"/>
            </w:pPr>
            <w:r/>
            <w:r>
              <w:rPr>
                <w:rFonts w:ascii="Calibri" w:hAnsi="Calibri"/>
                <w:b w:val="0"/>
                <w:color w:val="0B2545"/>
                <w:sz w:val="18"/>
              </w:rPr>
              <w:t>starter-player.mjs</w:t>
            </w:r>
          </w:p>
        </w:tc>
        <w:tc>
          <w:tcPr>
            <w:tcW w:type="dxa" w:w="3860"/>
            <w:tcMar>
              <w:top w:w="80" w:type="dxa"/>
              <w:start w:w="120" w:type="dxa"/>
              <w:bottom w:w="80" w:type="dxa"/>
              <w:end w:w="120" w:type="dxa"/>
            </w:tcMar>
            <w:vAlign w:val="center"/>
          </w:tcPr>
          <w:p>
            <w:pPr>
              <w:spacing w:after="0" w:line="269" w:lineRule="auto"/>
            </w:pPr>
            <w:r/>
            <w:r>
              <w:rPr>
                <w:rFonts w:ascii="Calibri" w:hAnsi="Calibri"/>
                <w:b w:val="0"/>
                <w:color w:val="0B2545"/>
                <w:sz w:val="18"/>
              </w:rPr>
              <w:t>Compact non-LLM baseline.</w:t>
            </w:r>
          </w:p>
        </w:tc>
        <w:tc>
          <w:tcPr>
            <w:tcW w:type="dxa" w:w="3450"/>
            <w:tcMar>
              <w:top w:w="80" w:type="dxa"/>
              <w:start w:w="120" w:type="dxa"/>
              <w:bottom w:w="80" w:type="dxa"/>
              <w:end w:w="120" w:type="dxa"/>
            </w:tcMar>
            <w:vAlign w:val="center"/>
          </w:tcPr>
          <w:p>
            <w:pPr>
              <w:spacing w:after="0" w:line="269" w:lineRule="auto"/>
            </w:pPr>
            <w:r/>
            <w:r>
              <w:rPr>
                <w:rFonts w:ascii="Calibri" w:hAnsi="Calibri"/>
                <w:b w:val="0"/>
                <w:color w:val="0B2545"/>
                <w:sz w:val="18"/>
              </w:rPr>
              <w:t>Supply a deterministic control policy.</w:t>
            </w:r>
          </w:p>
        </w:tc>
      </w:tr>
      <w:tr>
        <w:trPr>
          <w:cantSplit/>
        </w:trPr>
        <w:tc>
          <w:tcPr>
            <w:tcW w:type="dxa" w:w="2050"/>
            <w:tcMar>
              <w:top w:w="80" w:type="dxa"/>
              <w:start w:w="120" w:type="dxa"/>
              <w:bottom w:w="80" w:type="dxa"/>
              <w:end w:w="120" w:type="dxa"/>
            </w:tcMar>
            <w:vAlign w:val="center"/>
          </w:tcPr>
          <w:p>
            <w:pPr>
              <w:spacing w:after="0" w:line="269" w:lineRule="auto"/>
            </w:pPr>
            <w:r/>
            <w:r>
              <w:rPr>
                <w:rFonts w:ascii="Calibri" w:hAnsi="Calibri"/>
                <w:b w:val="0"/>
                <w:color w:val="0B2545"/>
                <w:sz w:val="18"/>
              </w:rPr>
              <w:t>launch.sh</w:t>
            </w:r>
          </w:p>
        </w:tc>
        <w:tc>
          <w:tcPr>
            <w:tcW w:type="dxa" w:w="3860"/>
            <w:tcMar>
              <w:top w:w="80" w:type="dxa"/>
              <w:start w:w="120" w:type="dxa"/>
              <w:bottom w:w="80" w:type="dxa"/>
              <w:end w:w="120" w:type="dxa"/>
            </w:tcMar>
            <w:vAlign w:val="center"/>
          </w:tcPr>
          <w:p>
            <w:pPr>
              <w:spacing w:after="0" w:line="269" w:lineRule="auto"/>
            </w:pPr>
            <w:r/>
            <w:r>
              <w:rPr>
                <w:rFonts w:ascii="Calibri" w:hAnsi="Calibri"/>
                <w:b w:val="0"/>
                <w:color w:val="0B2545"/>
                <w:sz w:val="18"/>
              </w:rPr>
              <w:t>Preflight, container build, browser sign-in, upload, and policy-version ID lookup.</w:t>
            </w:r>
          </w:p>
        </w:tc>
        <w:tc>
          <w:tcPr>
            <w:tcW w:type="dxa" w:w="3450"/>
            <w:tcMar>
              <w:top w:w="80" w:type="dxa"/>
              <w:start w:w="120" w:type="dxa"/>
              <w:bottom w:w="80" w:type="dxa"/>
              <w:end w:w="120" w:type="dxa"/>
            </w:tcMar>
            <w:vAlign w:val="center"/>
          </w:tcPr>
          <w:p>
            <w:pPr>
              <w:spacing w:after="0" w:line="269" w:lineRule="auto"/>
            </w:pPr>
            <w:r/>
            <w:r>
              <w:rPr>
                <w:rFonts w:ascii="Calibri" w:hAnsi="Calibri"/>
                <w:b w:val="0"/>
                <w:color w:val="0B2545"/>
                <w:sz w:val="18"/>
              </w:rPr>
              <w:t>Keep upload as an explicit optional terminal step.</w:t>
            </w:r>
          </w:p>
        </w:tc>
      </w:tr>
      <w:tr>
        <w:trPr>
          <w:cantSplit/>
        </w:trPr>
        <w:tc>
          <w:tcPr>
            <w:tcW w:type="dxa" w:w="2050"/>
            <w:tcMar>
              <w:top w:w="80" w:type="dxa"/>
              <w:start w:w="120" w:type="dxa"/>
              <w:bottom w:w="80" w:type="dxa"/>
              <w:end w:w="120" w:type="dxa"/>
            </w:tcMar>
            <w:vAlign w:val="center"/>
          </w:tcPr>
          <w:p>
            <w:pPr>
              <w:spacing w:after="0" w:line="269" w:lineRule="auto"/>
            </w:pPr>
            <w:r/>
            <w:r>
              <w:rPr>
                <w:rFonts w:ascii="Calibri" w:hAnsi="Calibri"/>
                <w:b w:val="0"/>
                <w:color w:val="0B2545"/>
                <w:sz w:val="18"/>
              </w:rPr>
              <w:t>Player protocol</w:t>
            </w:r>
          </w:p>
        </w:tc>
        <w:tc>
          <w:tcPr>
            <w:tcW w:type="dxa" w:w="3860"/>
            <w:tcMar>
              <w:top w:w="80" w:type="dxa"/>
              <w:start w:w="120" w:type="dxa"/>
              <w:bottom w:w="80" w:type="dxa"/>
              <w:end w:w="120" w:type="dxa"/>
            </w:tcMar>
            <w:vAlign w:val="center"/>
          </w:tcPr>
          <w:p>
            <w:pPr>
              <w:spacing w:after="0" w:line="269" w:lineRule="auto"/>
            </w:pPr>
            <w:r/>
            <w:r>
              <w:rPr>
                <w:rFonts w:ascii="Calibri" w:hAnsi="Calibri"/>
                <w:b w:val="0"/>
                <w:color w:val="0B2545"/>
                <w:sz w:val="18"/>
              </w:rPr>
              <w:t>Minimal decision request/response contract.</w:t>
            </w:r>
          </w:p>
        </w:tc>
        <w:tc>
          <w:tcPr>
            <w:tcW w:type="dxa" w:w="3450"/>
            <w:tcMar>
              <w:top w:w="80" w:type="dxa"/>
              <w:start w:w="120" w:type="dxa"/>
              <w:bottom w:w="80" w:type="dxa"/>
              <w:end w:w="120" w:type="dxa"/>
            </w:tcMar>
            <w:vAlign w:val="center"/>
          </w:tcPr>
          <w:p>
            <w:pPr>
              <w:spacing w:after="0" w:line="269" w:lineRule="auto"/>
            </w:pPr>
            <w:r/>
            <w:r>
              <w:rPr>
                <w:rFonts w:ascii="Calibri" w:hAnsi="Calibri"/>
                <w:b w:val="0"/>
                <w:color w:val="0B2545"/>
                <w:sz w:val="18"/>
              </w:rPr>
              <w:t>Anchor the contract tour and fixtures; use the starter for full transport behavior.</w:t>
            </w:r>
          </w:p>
        </w:tc>
      </w:tr>
      <w:tr>
        <w:trPr>
          <w:cantSplit/>
        </w:trPr>
        <w:tc>
          <w:tcPr>
            <w:tcW w:type="dxa" w:w="2050"/>
            <w:tcMar>
              <w:top w:w="80" w:type="dxa"/>
              <w:start w:w="120" w:type="dxa"/>
              <w:bottom w:w="80" w:type="dxa"/>
              <w:end w:w="120" w:type="dxa"/>
            </w:tcMar>
            <w:vAlign w:val="center"/>
          </w:tcPr>
          <w:p>
            <w:pPr>
              <w:spacing w:after="0" w:line="269" w:lineRule="auto"/>
            </w:pPr>
            <w:r/>
            <w:r>
              <w:rPr>
                <w:rFonts w:ascii="Calibri" w:hAnsi="Calibri"/>
                <w:b w:val="0"/>
                <w:color w:val="0B2545"/>
                <w:sz w:val="18"/>
              </w:rPr>
              <w:t>Adapter certification + episode tooling</w:t>
            </w:r>
          </w:p>
        </w:tc>
        <w:tc>
          <w:tcPr>
            <w:tcW w:type="dxa" w:w="3860"/>
            <w:tcMar>
              <w:top w:w="80" w:type="dxa"/>
              <w:start w:w="120" w:type="dxa"/>
              <w:bottom w:w="80" w:type="dxa"/>
              <w:end w:w="120" w:type="dxa"/>
            </w:tcMar>
            <w:vAlign w:val="center"/>
          </w:tcPr>
          <w:p>
            <w:pPr>
              <w:spacing w:after="0" w:line="269" w:lineRule="auto"/>
            </w:pPr>
            <w:r/>
            <w:r>
              <w:rPr>
                <w:rFonts w:ascii="Calibri" w:hAnsi="Calibri"/>
                <w:b w:val="0"/>
                <w:color w:val="0B2545"/>
                <w:sz w:val="18"/>
              </w:rPr>
              <w:t>Canonical local integration and replay-verification paths.</w:t>
            </w:r>
          </w:p>
        </w:tc>
        <w:tc>
          <w:tcPr>
            <w:tcW w:type="dxa" w:w="3450"/>
            <w:tcMar>
              <w:top w:w="80" w:type="dxa"/>
              <w:start w:w="120" w:type="dxa"/>
              <w:bottom w:w="80" w:type="dxa"/>
              <w:end w:w="120" w:type="dxa"/>
            </w:tcMar>
            <w:vAlign w:val="center"/>
          </w:tcPr>
          <w:p>
            <w:pPr>
              <w:spacing w:after="0" w:line="269" w:lineRule="auto"/>
            </w:pPr>
            <w:r/>
            <w:r>
              <w:rPr>
                <w:rFonts w:ascii="Calibri" w:hAnsi="Calibri"/>
                <w:b w:val="0"/>
                <w:color w:val="0B2545"/>
                <w:sz w:val="18"/>
              </w:rPr>
              <w:t>Invoke behind the notebook; do not reimplement.</w:t>
            </w:r>
          </w:p>
        </w:tc>
      </w:tr>
      <w:tr>
        <w:trPr>
          <w:cantSplit/>
        </w:trPr>
        <w:tc>
          <w:tcPr>
            <w:tcW w:type="dxa" w:w="2050"/>
            <w:tcMar>
              <w:top w:w="80" w:type="dxa"/>
              <w:start w:w="120" w:type="dxa"/>
              <w:bottom w:w="80" w:type="dxa"/>
              <w:end w:w="120" w:type="dxa"/>
            </w:tcMar>
            <w:vAlign w:val="center"/>
          </w:tcPr>
          <w:p>
            <w:pPr>
              <w:spacing w:after="0" w:line="269" w:lineRule="auto"/>
            </w:pPr>
            <w:r/>
            <w:r>
              <w:rPr>
                <w:rFonts w:ascii="Calibri" w:hAnsi="Calibri"/>
                <w:b w:val="0"/>
                <w:color w:val="0B2545"/>
                <w:sz w:val="18"/>
              </w:rPr>
              <w:t>Replays + decision evidence</w:t>
            </w:r>
          </w:p>
        </w:tc>
        <w:tc>
          <w:tcPr>
            <w:tcW w:type="dxa" w:w="3860"/>
            <w:tcMar>
              <w:top w:w="80" w:type="dxa"/>
              <w:start w:w="120" w:type="dxa"/>
              <w:bottom w:w="80" w:type="dxa"/>
              <w:end w:w="120" w:type="dxa"/>
            </w:tcMar>
            <w:vAlign w:val="center"/>
          </w:tcPr>
          <w:p>
            <w:pPr>
              <w:spacing w:after="0" w:line="269" w:lineRule="auto"/>
            </w:pPr>
            <w:r/>
            <w:r>
              <w:rPr>
                <w:rFonts w:ascii="Calibri" w:hAnsi="Calibri"/>
                <w:b w:val="0"/>
                <w:color w:val="0B2545"/>
                <w:sz w:val="18"/>
              </w:rPr>
              <w:t>Rendered match evidence plus policy-authored reason summaries, confidence, and degradation signals.</w:t>
            </w:r>
          </w:p>
        </w:tc>
        <w:tc>
          <w:tcPr>
            <w:tcW w:type="dxa" w:w="3450"/>
            <w:tcMar>
              <w:top w:w="80" w:type="dxa"/>
              <w:start w:w="120" w:type="dxa"/>
              <w:bottom w:w="80" w:type="dxa"/>
              <w:end w:w="120" w:type="dxa"/>
            </w:tcMar>
            <w:vAlign w:val="center"/>
          </w:tcPr>
          <w:p>
            <w:pPr>
              <w:spacing w:after="0" w:line="269" w:lineRule="auto"/>
            </w:pPr>
            <w:r/>
            <w:r>
              <w:rPr>
                <w:rFonts w:ascii="Calibri" w:hAnsi="Calibri"/>
                <w:b w:val="0"/>
                <w:color w:val="0B2545"/>
                <w:sz w:val="18"/>
              </w:rPr>
              <w:t>Power the analyze-and-improve chapter from a reviewed bundle or authorized view.</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F4F6F9" w:val="clear"/>
            <w:tcBorders>
              <w:start w:val="single" w:sz="16" w:color="2E74B5"/>
              <w:top w:val="nil"/>
              <w:bottom w:val="nil"/>
              <w:end w:val="nil"/>
            </w:tcBorders>
          </w:tcPr>
          <w:p>
            <w:pPr>
              <w:keepNext/>
              <w:spacing w:after="60"/>
            </w:pPr>
            <w:r>
              <w:rPr>
                <w:rFonts w:ascii="Calibri" w:hAnsi="Calibri" w:eastAsia="Calibri"/>
                <w:b/>
                <w:i w:val="0"/>
                <w:color w:val="2E74B5"/>
                <w:sz w:val="21"/>
              </w:rPr>
              <w:t>Two layers, one architecture</w:t>
            </w:r>
          </w:p>
          <w:p>
            <w:pPr>
              <w:spacing w:after="0" w:line="276" w:lineRule="auto"/>
            </w:pPr>
            <w:r>
              <w:rPr>
                <w:rFonts w:ascii="Calibri" w:hAnsi="Calibri" w:eastAsia="Calibri"/>
                <w:b w:val="0"/>
                <w:i w:val="0"/>
                <w:color w:val="0B2545"/>
                <w:sz w:val="20"/>
              </w:rPr>
              <w:t>The lightweight external starter is the learner-facing policy. The Coworld adapter is the engine/integration layer. The notebook may connect them, but it must keep their responsibilities distinct.</w:t>
            </w:r>
          </w:p>
        </w:tc>
      </w:tr>
    </w:tbl>
    <w:p>
      <w:pPr>
        <w:spacing w:after="0"/>
      </w:pPr>
    </w:p>
    <w:p>
      <w:pPr>
        <w:pStyle w:val="PWLabel"/>
      </w:pPr>
      <w:r>
        <w:rPr>
          <w:rFonts w:ascii="Calibri" w:hAnsi="Calibri" w:eastAsia="Calibri"/>
          <w:b/>
          <w:i w:val="0"/>
          <w:color w:val="2F6B55"/>
          <w:sz w:val="16"/>
        </w:rPr>
        <w:t>REPOSITORY-VERIFIED  /  STARTER BEHAVIOR</w:t>
      </w:r>
    </w:p>
    <w:p>
      <w:pPr>
        <w:pStyle w:val="Heading1"/>
      </w:pPr>
      <w:r>
        <w:t>4. How the supplied LLM starter works</w:t>
      </w:r>
    </w:p>
    <w:p>
      <w:pPr>
        <w:keepLines/>
      </w:pPr>
      <w:r>
        <w:rPr>
          <w:rFonts w:ascii="Calibri" w:hAnsi="Calibri" w:eastAsia="Calibri"/>
          <w:b w:val="0"/>
          <w:i w:val="0"/>
          <w:color w:val="0B2545"/>
          <w:sz w:val="21"/>
        </w:rPr>
        <w:t>The starter separates slow strategic reasoning from time-sensitive move selection. A model writes a compact standing plan in the background; the decision handler immediately maps the latest good plan to one currently offered legal action.</w:t>
      </w:r>
    </w:p>
    <w:tbl>
      <w:tblPr>
        <w:tblStyle w:val="TableGrid"/>
        <w:tblW w:type="dxa" w:w="9360"/>
        <w:tblLayout w:type="fixed"/>
        <w:tblLook w:firstColumn="1" w:firstRow="1" w:lastColumn="0" w:lastRow="0" w:noHBand="0" w:noVBand="1" w:val="04A0"/>
        <w:jc w:val="left"/>
        <w:tblInd w:w="120" w:type="dxa"/>
      </w:tblPr>
      <w:tblGrid>
        <w:gridCol w:w="2100"/>
        <w:gridCol w:w="3860"/>
        <w:gridCol w:w="3400"/>
      </w:tblGrid>
      <w:tr>
        <w:trPr>
          <w:cantSplit/>
          <w:tblHeader w:val="true"/>
          <w:tblHeader w:val="true"/>
        </w:trPr>
        <w:tc>
          <w:tcPr>
            <w:tcW w:type="dxa" w:w="210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Builder edits</w:t>
            </w:r>
          </w:p>
        </w:tc>
        <w:tc>
          <w:tcPr>
            <w:tcW w:type="dxa" w:w="386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Purpose</w:t>
            </w:r>
          </w:p>
        </w:tc>
        <w:tc>
          <w:tcPr>
            <w:tcW w:type="dxa" w:w="340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Boundary</w:t>
            </w:r>
          </w:p>
        </w:tc>
      </w:tr>
      <w:tr>
        <w:trPr>
          <w:cantSplit/>
        </w:trPr>
        <w:tc>
          <w:tcPr>
            <w:tcW w:type="dxa" w:w="2100"/>
            <w:tcMar>
              <w:top w:w="80" w:type="dxa"/>
              <w:start w:w="120" w:type="dxa"/>
              <w:bottom w:w="80" w:type="dxa"/>
              <w:end w:w="120" w:type="dxa"/>
            </w:tcMar>
            <w:vAlign w:val="center"/>
          </w:tcPr>
          <w:p>
            <w:pPr>
              <w:spacing w:after="0" w:line="269" w:lineRule="auto"/>
            </w:pPr>
            <w:r/>
            <w:r>
              <w:rPr>
                <w:rFonts w:ascii="Calibri" w:hAnsi="Calibri"/>
                <w:b w:val="0"/>
                <w:color w:val="0B2545"/>
                <w:sz w:val="18"/>
              </w:rPr>
              <w:t>STRATEGY</w:t>
            </w:r>
          </w:p>
        </w:tc>
        <w:tc>
          <w:tcPr>
            <w:tcW w:type="dxa" w:w="3860"/>
            <w:tcMar>
              <w:top w:w="80" w:type="dxa"/>
              <w:start w:w="120" w:type="dxa"/>
              <w:bottom w:w="80" w:type="dxa"/>
              <w:end w:w="120" w:type="dxa"/>
            </w:tcMar>
            <w:vAlign w:val="center"/>
          </w:tcPr>
          <w:p>
            <w:pPr>
              <w:spacing w:after="0" w:line="269" w:lineRule="auto"/>
            </w:pPr>
            <w:r/>
            <w:r>
              <w:rPr>
                <w:rFonts w:ascii="Calibri" w:hAnsi="Calibri"/>
                <w:b w:val="0"/>
                <w:color w:val="0B2545"/>
                <w:sz w:val="18"/>
              </w:rPr>
              <w:t>Plain-language standing orders: how the nation should play.</w:t>
            </w:r>
          </w:p>
        </w:tc>
        <w:tc>
          <w:tcPr>
            <w:tcW w:type="dxa" w:w="3400"/>
            <w:tcMar>
              <w:top w:w="80" w:type="dxa"/>
              <w:start w:w="120" w:type="dxa"/>
              <w:bottom w:w="80" w:type="dxa"/>
              <w:end w:w="120" w:type="dxa"/>
            </w:tcMar>
            <w:vAlign w:val="center"/>
          </w:tcPr>
          <w:p>
            <w:pPr>
              <w:spacing w:after="0" w:line="269" w:lineRule="auto"/>
            </w:pPr>
            <w:r/>
            <w:r>
              <w:rPr>
                <w:rFonts w:ascii="Calibri" w:hAnsi="Calibri"/>
                <w:b w:val="0"/>
                <w:color w:val="0B2545"/>
                <w:sz w:val="18"/>
              </w:rPr>
              <w:t>Changes goals, not the transport contract.</w:t>
            </w:r>
          </w:p>
        </w:tc>
      </w:tr>
      <w:tr>
        <w:trPr>
          <w:cantSplit/>
        </w:trPr>
        <w:tc>
          <w:tcPr>
            <w:tcW w:type="dxa" w:w="2100"/>
            <w:tcMar>
              <w:top w:w="80" w:type="dxa"/>
              <w:start w:w="120" w:type="dxa"/>
              <w:bottom w:w="80" w:type="dxa"/>
              <w:end w:w="120" w:type="dxa"/>
            </w:tcMar>
            <w:vAlign w:val="center"/>
          </w:tcPr>
          <w:p>
            <w:pPr>
              <w:spacing w:after="0" w:line="269" w:lineRule="auto"/>
            </w:pPr>
            <w:r/>
            <w:r>
              <w:rPr>
                <w:rFonts w:ascii="Calibri" w:hAnsi="Calibri"/>
                <w:b w:val="0"/>
                <w:color w:val="0B2545"/>
                <w:sz w:val="18"/>
              </w:rPr>
              <w:t>buildState</w:t>
            </w:r>
          </w:p>
        </w:tc>
        <w:tc>
          <w:tcPr>
            <w:tcW w:type="dxa" w:w="3860"/>
            <w:tcMar>
              <w:top w:w="80" w:type="dxa"/>
              <w:start w:w="120" w:type="dxa"/>
              <w:bottom w:w="80" w:type="dxa"/>
              <w:end w:w="120" w:type="dxa"/>
            </w:tcMar>
            <w:vAlign w:val="center"/>
          </w:tcPr>
          <w:p>
            <w:pPr>
              <w:spacing w:after="0" w:line="269" w:lineRule="auto"/>
            </w:pPr>
            <w:r/>
            <w:r>
              <w:rPr>
                <w:rFonts w:ascii="Calibri" w:hAnsi="Calibri"/>
                <w:b w:val="0"/>
                <w:color w:val="0B2545"/>
                <w:sz w:val="18"/>
              </w:rPr>
              <w:t>Selects the game facts shown to the planner.</w:t>
            </w:r>
          </w:p>
        </w:tc>
        <w:tc>
          <w:tcPr>
            <w:tcW w:type="dxa" w:w="3400"/>
            <w:tcMar>
              <w:top w:w="80" w:type="dxa"/>
              <w:start w:w="120" w:type="dxa"/>
              <w:bottom w:w="80" w:type="dxa"/>
              <w:end w:w="120" w:type="dxa"/>
            </w:tcMar>
            <w:vAlign w:val="center"/>
          </w:tcPr>
          <w:p>
            <w:pPr>
              <w:spacing w:after="0" w:line="269" w:lineRule="auto"/>
            </w:pPr>
            <w:r/>
            <w:r>
              <w:rPr>
                <w:rFonts w:ascii="Calibri" w:hAnsi="Calibri"/>
                <w:b w:val="0"/>
                <w:color w:val="0B2545"/>
                <w:sz w:val="18"/>
              </w:rPr>
              <w:t>Uses the observation; does not bypass it.</w:t>
            </w:r>
          </w:p>
        </w:tc>
      </w:tr>
      <w:tr>
        <w:trPr>
          <w:cantSplit/>
        </w:trPr>
        <w:tc>
          <w:tcPr>
            <w:tcW w:type="dxa" w:w="2100"/>
            <w:tcMar>
              <w:top w:w="80" w:type="dxa"/>
              <w:start w:w="120" w:type="dxa"/>
              <w:bottom w:w="80" w:type="dxa"/>
              <w:end w:w="120" w:type="dxa"/>
            </w:tcMar>
            <w:vAlign w:val="center"/>
          </w:tcPr>
          <w:p>
            <w:pPr>
              <w:spacing w:after="0" w:line="269" w:lineRule="auto"/>
            </w:pPr>
            <w:r/>
            <w:r>
              <w:rPr>
                <w:rFonts w:ascii="Calibri" w:hAnsi="Calibri"/>
                <w:b w:val="0"/>
                <w:color w:val="0B2545"/>
                <w:sz w:val="18"/>
              </w:rPr>
              <w:t>choose</w:t>
            </w:r>
          </w:p>
        </w:tc>
        <w:tc>
          <w:tcPr>
            <w:tcW w:type="dxa" w:w="3860"/>
            <w:tcMar>
              <w:top w:w="80" w:type="dxa"/>
              <w:start w:w="120" w:type="dxa"/>
              <w:bottom w:w="80" w:type="dxa"/>
              <w:end w:w="120" w:type="dxa"/>
            </w:tcMar>
            <w:vAlign w:val="center"/>
          </w:tcPr>
          <w:p>
            <w:pPr>
              <w:spacing w:after="0" w:line="269" w:lineRule="auto"/>
            </w:pPr>
            <w:r/>
            <w:r>
              <w:rPr>
                <w:rFonts w:ascii="Calibri" w:hAnsi="Calibri"/>
                <w:b w:val="0"/>
                <w:color w:val="0B2545"/>
                <w:sz w:val="18"/>
              </w:rPr>
              <w:t>Maps the standing plan to one offered action.</w:t>
            </w:r>
          </w:p>
        </w:tc>
        <w:tc>
          <w:tcPr>
            <w:tcW w:type="dxa" w:w="3400"/>
            <w:tcMar>
              <w:top w:w="80" w:type="dxa"/>
              <w:start w:w="120" w:type="dxa"/>
              <w:bottom w:w="80" w:type="dxa"/>
              <w:end w:w="120" w:type="dxa"/>
            </w:tcMar>
            <w:vAlign w:val="center"/>
          </w:tcPr>
          <w:p>
            <w:pPr>
              <w:spacing w:after="0" w:line="269" w:lineRule="auto"/>
            </w:pPr>
            <w:r/>
            <w:r>
              <w:rPr>
                <w:rFonts w:ascii="Calibri" w:hAnsi="Calibri"/>
                <w:b w:val="0"/>
                <w:color w:val="0B2545"/>
                <w:sz w:val="18"/>
              </w:rPr>
              <w:t>Must return an item from legalActions.</w:t>
            </w:r>
          </w:p>
        </w:tc>
      </w:tr>
    </w:tbl>
    <w:p>
      <w:pPr>
        <w:spacing w:after="0"/>
      </w:pPr>
    </w:p>
    <w:p>
      <w:pPr>
        <w:keepLines/>
      </w:pPr>
      <w:r>
        <w:rPr>
          <w:rFonts w:ascii="Calibri" w:hAnsi="Calibri" w:eastAsia="Calibri"/>
          <w:b w:val="0"/>
          <w:i w:val="0"/>
          <w:color w:val="0B2545"/>
          <w:sz w:val="21"/>
        </w:rPr>
        <w:t>The starter also keeps anti-loop memory, sanitizes untrusted game text, continues from the last good plan when planning fails, and emits fallbackUsed and llmPlannerDegraded so a strategic loss can be distinguished from an unhealthy planner.</w:t>
      </w:r>
    </w:p>
    <w:p>
      <w:pPr>
        <w:pStyle w:val="PWLabel"/>
      </w:pPr>
      <w:r>
        <w:rPr>
          <w:rFonts w:ascii="Calibri" w:hAnsi="Calibri" w:eastAsia="Calibri"/>
          <w:b/>
          <w:i w:val="0"/>
          <w:color w:val="2F6B55"/>
          <w:sz w:val="16"/>
        </w:rPr>
        <w:t>REPOSITORY-VERIFIED  /  CURRENT WORKFLOW</w:t>
      </w:r>
    </w:p>
    <w:p>
      <w:pPr>
        <w:pStyle w:val="Heading1"/>
      </w:pPr>
      <w:r>
        <w:t>5. The builder journey today</w:t>
      </w:r>
    </w:p>
    <w:p>
      <w:pPr>
        <w:pStyle w:val="ListNumber"/>
      </w:pPr>
      <w:r>
        <w:rPr>
          <w:rFonts w:ascii="Calibri" w:hAnsi="Calibri" w:eastAsia="Calibri"/>
          <w:b/>
          <w:i w:val="0"/>
          <w:color w:val="0B2545"/>
          <w:sz w:val="20"/>
        </w:rPr>
        <w:t>Check the environment.</w:t>
      </w:r>
      <w:r>
        <w:rPr>
          <w:rFonts w:ascii="Calibri" w:hAnsi="Calibri" w:eastAsia="Calibri"/>
          <w:b w:val="0"/>
          <w:i w:val="0"/>
          <w:color w:val="0B2545"/>
          <w:sz w:val="20"/>
        </w:rPr>
        <w:t xml:space="preserve"> Run bash launch.sh --doctor for a non-mutating preflight.</w:t>
      </w:r>
    </w:p>
    <w:p>
      <w:pPr>
        <w:pStyle w:val="ListNumber"/>
      </w:pPr>
      <w:r>
        <w:rPr>
          <w:rFonts w:ascii="Calibri" w:hAnsi="Calibri" w:eastAsia="Calibri"/>
          <w:b/>
          <w:i w:val="0"/>
          <w:color w:val="0B2545"/>
          <w:sz w:val="20"/>
        </w:rPr>
        <w:t>Choose a starting point.</w:t>
      </w:r>
      <w:r>
        <w:rPr>
          <w:rFonts w:ascii="Calibri" w:hAnsi="Calibri" w:eastAsia="Calibri"/>
          <w:b w:val="0"/>
          <w:i w:val="0"/>
          <w:color w:val="0B2545"/>
          <w:sz w:val="20"/>
        </w:rPr>
        <w:t xml:space="preserve"> Use the LLM policy or the compact rule-based baseline.</w:t>
      </w:r>
    </w:p>
    <w:p>
      <w:pPr>
        <w:pStyle w:val="ListNumber"/>
      </w:pPr>
      <w:r>
        <w:rPr>
          <w:rFonts w:ascii="Calibri" w:hAnsi="Calibri" w:eastAsia="Calibri"/>
          <w:b/>
          <w:i w:val="0"/>
          <w:color w:val="0B2545"/>
          <w:sz w:val="20"/>
        </w:rPr>
        <w:t>Customize the policy.</w:t>
      </w:r>
      <w:r>
        <w:rPr>
          <w:rFonts w:ascii="Calibri" w:hAnsi="Calibri" w:eastAsia="Calibri"/>
          <w:b w:val="0"/>
          <w:i w:val="0"/>
          <w:color w:val="0B2545"/>
          <w:sz w:val="20"/>
        </w:rPr>
        <w:t xml:space="preserve"> Edit STRATEGY, buildState, and choose while preserving the transport and legal-action contract.</w:t>
      </w:r>
    </w:p>
    <w:p>
      <w:pPr>
        <w:pStyle w:val="ListNumber"/>
      </w:pPr>
      <w:r>
        <w:rPr>
          <w:rFonts w:ascii="Calibri" w:hAnsi="Calibri" w:eastAsia="Calibri"/>
          <w:b/>
          <w:i w:val="0"/>
          <w:color w:val="0B2545"/>
          <w:sz w:val="20"/>
        </w:rPr>
        <w:t>Validate through canonical tooling.</w:t>
      </w:r>
      <w:r>
        <w:rPr>
          <w:rFonts w:ascii="Calibri" w:hAnsi="Calibri" w:eastAsia="Calibri"/>
          <w:b w:val="0"/>
          <w:i w:val="0"/>
          <w:color w:val="0B2545"/>
          <w:sz w:val="20"/>
        </w:rPr>
        <w:t xml:space="preserve"> Exercise fixtures and the existing adapter’s certification or verified episode path.</w:t>
      </w:r>
    </w:p>
    <w:p>
      <w:pPr>
        <w:pStyle w:val="ListNumber"/>
      </w:pPr>
      <w:r>
        <w:rPr>
          <w:rFonts w:ascii="Calibri" w:hAnsi="Calibri" w:eastAsia="Calibri"/>
          <w:b/>
          <w:i w:val="0"/>
          <w:color w:val="0B2545"/>
          <w:sz w:val="20"/>
        </w:rPr>
        <w:t>Build and upload deliberately.</w:t>
      </w:r>
      <w:r>
        <w:rPr>
          <w:rFonts w:ascii="Calibri" w:hAnsi="Calibri" w:eastAsia="Calibri"/>
          <w:b w:val="0"/>
          <w:i w:val="0"/>
          <w:color w:val="0B2545"/>
          <w:sz w:val="20"/>
        </w:rPr>
        <w:t xml:space="preserve"> The launcher can package and upload a policy after browser authentication.</w:t>
      </w:r>
    </w:p>
    <w:p>
      <w:pPr>
        <w:pStyle w:val="ListNumber"/>
      </w:pPr>
      <w:r>
        <w:rPr>
          <w:rFonts w:ascii="Calibri" w:hAnsi="Calibri" w:eastAsia="Calibri"/>
          <w:b/>
          <w:i w:val="0"/>
          <w:color w:val="0B2545"/>
          <w:sz w:val="20"/>
        </w:rPr>
        <w:t>Seat or submit the policy.</w:t>
      </w:r>
      <w:r>
        <w:rPr>
          <w:rFonts w:ascii="Calibri" w:hAnsi="Calibri" w:eastAsia="Calibri"/>
          <w:b w:val="0"/>
          <w:i w:val="0"/>
          <w:color w:val="0B2545"/>
          <w:sz w:val="20"/>
        </w:rPr>
        <w:t xml:space="preserve"> A separate invited-match or current league step is required.</w:t>
      </w:r>
    </w:p>
    <w:p>
      <w:pPr>
        <w:pStyle w:val="ListNumber"/>
      </w:pPr>
      <w:r>
        <w:rPr>
          <w:rFonts w:ascii="Calibri" w:hAnsi="Calibri" w:eastAsia="Calibri"/>
          <w:b/>
          <w:i w:val="0"/>
          <w:color w:val="0B2545"/>
          <w:sz w:val="20"/>
        </w:rPr>
        <w:t>Inspect and improve.</w:t>
      </w:r>
      <w:r>
        <w:rPr>
          <w:rFonts w:ascii="Calibri" w:hAnsi="Calibri" w:eastAsia="Calibri"/>
          <w:b w:val="0"/>
          <w:i w:val="0"/>
          <w:color w:val="0B2545"/>
          <w:sz w:val="20"/>
        </w:rPr>
        <w:t xml:space="preserve"> Use the result, rendered replay, decision reasons, confidence, and degradation telemetry.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FFF7E8" w:val="clear"/>
            <w:tcBorders>
              <w:start w:val="single" w:sz="16" w:color="A85D00"/>
              <w:top w:val="nil"/>
              <w:bottom w:val="nil"/>
              <w:end w:val="nil"/>
            </w:tcBorders>
          </w:tcPr>
          <w:p>
            <w:pPr>
              <w:keepNext/>
              <w:spacing w:after="60"/>
            </w:pPr>
            <w:r>
              <w:rPr>
                <w:rFonts w:ascii="Calibri" w:hAnsi="Calibri" w:eastAsia="Calibri"/>
                <w:b/>
                <w:i w:val="0"/>
                <w:color w:val="A85D00"/>
                <w:sz w:val="21"/>
              </w:rPr>
              <w:t>Important correction to the current onboarding language</w:t>
            </w:r>
          </w:p>
          <w:p>
            <w:pPr>
              <w:spacing w:after="0" w:line="276" w:lineRule="auto"/>
            </w:pPr>
            <w:r>
              <w:rPr>
                <w:rFonts w:ascii="Calibri" w:hAnsi="Calibri" w:eastAsia="Calibri"/>
                <w:b w:val="0"/>
                <w:i w:val="0"/>
                <w:color w:val="0B2545"/>
                <w:sz w:val="20"/>
              </w:rPr>
              <w:t>bash launch.sh my-agent builds and uploads a policy version. It does not itself run a match. That version must then be seated in an invited episode or submitted to a live league.</w:t>
            </w:r>
          </w:p>
        </w:tc>
      </w:tr>
    </w:tbl>
    <w:p>
      <w:pPr>
        <w:spacing w:after="0"/>
      </w:pPr>
    </w:p>
    <w:p>
      <w:pPr>
        <w:pStyle w:val="Heading2"/>
      </w:pPr>
      <w:r>
        <w:t>The current starter commands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6F8FA" w:val="clear"/>
            <w:tcBorders>
              <w:top w:val="single" w:sz="4" w:color="C9D5E3"/>
              <w:bottom w:val="single" w:sz="4" w:color="C9D5E3"/>
              <w:start w:val="single" w:sz="4" w:color="C9D5E3"/>
              <w:end w:val="single" w:sz="4" w:color="C9D5E3"/>
            </w:tcBorders>
          </w:tcPr>
          <w:p>
            <w:pPr>
              <w:pStyle w:val="PWCode"/>
              <w:spacing w:after="0"/>
            </w:pPr>
            <w:r>
              <w:rPr>
                <w:rFonts w:ascii="Consolas" w:hAnsi="Consolas" w:eastAsia="Consolas"/>
                <w:b w:val="0"/>
                <w:i w:val="0"/>
                <w:color w:val="0B2545"/>
                <w:sz w:val="16"/>
              </w:rPr>
              <w:t>git clone https://github.com/0xNad/ProxyWar.git</w:t>
              <w:br/>
              <w:t>cd ProxyWar/coworld-adapter/tester-starter-llm</w:t>
              <w:br/>
              <w:br/>
              <w:t># Non-mutating environment check</w:t>
              <w:br/>
              <w:t>bash launch.sh --doctor</w:t>
              <w:br/>
              <w:br/>
              <w:t># Explicit authenticated build + upload</w:t>
              <w:br/>
              <w:t>bash launch.sh my-agent</w:t>
            </w:r>
          </w:p>
        </w:tc>
      </w:tr>
    </w:tbl>
    <w:p>
      <w:pPr>
        <w:spacing w:after="0"/>
      </w:pPr>
    </w:p>
    <w:p>
      <w:pPr>
        <w:keepLines/>
        <w:spacing w:after="0"/>
      </w:pPr>
      <w:r>
        <w:rPr>
          <w:rFonts w:ascii="Calibri" w:hAnsi="Calibri" w:eastAsia="Calibri"/>
          <w:b w:val="0"/>
          <w:i w:val="0"/>
          <w:color w:val="0B2545"/>
          <w:sz w:val="21"/>
        </w:rPr>
        <w:t>Hosted authentication, model access, league identifiers, and current CLI compatibility are live-service facts. Recheck them at the time of use; do not freeze them into the durable notebook.</w:t>
      </w:r>
    </w:p>
    <w:p>
      <w:pPr>
        <w:spacing w:after="0"/>
      </w:pPr>
      <w:r>
        <w:br w:type="page"/>
      </w:r>
    </w:p>
    <w:p>
      <w:pPr>
        <w:pStyle w:val="PWLabel"/>
      </w:pPr>
      <w:r>
        <w:rPr>
          <w:rFonts w:ascii="Calibri" w:hAnsi="Calibri" w:eastAsia="Calibri"/>
          <w:b/>
          <w:i w:val="0"/>
          <w:color w:val="2E74B5"/>
          <w:sz w:val="16"/>
        </w:rPr>
        <w:t>PROPOSED  /  DESIRED LEARNING EXPERIENCE</w:t>
      </w:r>
    </w:p>
    <w:p>
      <w:pPr>
        <w:pStyle w:val="Heading1"/>
      </w:pPr>
      <w:r>
        <w:t>6. Desired notebook experience</w:t>
      </w:r>
    </w:p>
    <w:p>
      <w:pPr>
        <w:keepLines/>
      </w:pPr>
      <w:r>
        <w:rPr>
          <w:rFonts w:ascii="Calibri" w:hAnsi="Calibri" w:eastAsia="Calibri"/>
          <w:b w:val="0"/>
          <w:i w:val="0"/>
          <w:color w:val="0B2545"/>
          <w:sz w:val="21"/>
        </w:rPr>
        <w:t>Present this as one journey with two linked chapters. They may live in one notebook or two, but the learner should experience a continuous loop from a working decision to a measured improvement.</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tcMar>
              <w:top w:w="150" w:type="dxa"/>
              <w:start w:w="120" w:type="dxa"/>
              <w:bottom w:w="150" w:type="dxa"/>
              <w:end w:w="120" w:type="dxa"/>
            </w:tcMar>
            <w:vAlign w:val="center"/>
            <w:shd w:fill="EEF5FB" w:val="clear"/>
            <w:tcBorders>
              <w:top w:val="single" w:sz="5" w:color="C9D5E3"/>
              <w:bottom w:val="single" w:sz="5" w:color="C9D5E3"/>
              <w:start w:val="single" w:sz="5" w:color="C9D5E3"/>
              <w:end w:val="single" w:sz="5" w:color="C9D5E3"/>
            </w:tcBorders>
          </w:tcPr>
          <w:p>
            <w:pPr>
              <w:spacing w:after="60"/>
            </w:pPr>
            <w:r/>
            <w:r>
              <w:rPr>
                <w:rFonts w:ascii="Calibri" w:hAnsi="Calibri" w:eastAsia="Calibri"/>
                <w:b/>
                <w:i w:val="0"/>
                <w:color w:val="2E74B5"/>
                <w:sz w:val="16"/>
              </w:rPr>
              <w:t>CHAPTER A</w:t>
            </w:r>
          </w:p>
          <w:p>
            <w:pPr>
              <w:spacing w:after="160"/>
            </w:pPr>
            <w:r>
              <w:rPr>
                <w:rFonts w:ascii="Calibri" w:hAnsi="Calibri" w:eastAsia="Calibri"/>
                <w:b/>
                <w:i w:val="0"/>
                <w:color w:val="1F4D78"/>
                <w:sz w:val="26"/>
              </w:rPr>
              <w:t>Let’s Play Proxy War</w:t>
            </w:r>
          </w:p>
          <w:p>
            <w:pPr>
              <w:pStyle w:val="ListBullet"/>
              <w:spacing w:after="60"/>
              <w:ind w:left="389" w:hanging="202"/>
            </w:pPr>
            <w:r>
              <w:rPr>
                <w:rFonts w:ascii="Calibri" w:hAnsi="Calibri" w:eastAsia="Calibri"/>
                <w:b w:val="0"/>
                <w:i w:val="0"/>
                <w:color w:val="0B2545"/>
                <w:sz w:val="18"/>
              </w:rPr>
              <w:t>Preview a rendered replay before setup.</w:t>
            </w:r>
          </w:p>
          <w:p>
            <w:pPr>
              <w:pStyle w:val="ListBullet"/>
              <w:spacing w:after="60"/>
              <w:ind w:left="389" w:hanging="202"/>
            </w:pPr>
            <w:r>
              <w:rPr>
                <w:rFonts w:ascii="Calibri" w:hAnsi="Calibri" w:eastAsia="Calibri"/>
                <w:b w:val="0"/>
                <w:i w:val="0"/>
                <w:color w:val="0B2545"/>
                <w:sz w:val="18"/>
              </w:rPr>
              <w:t>Inspect one frozen decision request.</w:t>
            </w:r>
          </w:p>
          <w:p>
            <w:pPr>
              <w:pStyle w:val="ListBullet"/>
              <w:spacing w:after="60"/>
              <w:ind w:left="389" w:hanging="202"/>
            </w:pPr>
            <w:r>
              <w:rPr>
                <w:rFonts w:ascii="Calibri" w:hAnsi="Calibri" w:eastAsia="Calibri"/>
                <w:b w:val="0"/>
                <w:i w:val="0"/>
                <w:color w:val="0B2545"/>
                <w:sz w:val="18"/>
              </w:rPr>
              <w:t>Run the rule baseline on that fixture.</w:t>
            </w:r>
          </w:p>
          <w:p>
            <w:pPr>
              <w:pStyle w:val="ListBullet"/>
              <w:spacing w:after="60"/>
              <w:ind w:left="389" w:hanging="202"/>
            </w:pPr>
            <w:r>
              <w:rPr>
                <w:rFonts w:ascii="Calibri" w:hAnsi="Calibri" w:eastAsia="Calibri"/>
                <w:b w:val="0"/>
                <w:i w:val="0"/>
                <w:color w:val="0B2545"/>
                <w:sz w:val="18"/>
              </w:rPr>
              <w:t>Edit strategy, state selection, or choice logic.</w:t>
            </w:r>
          </w:p>
          <w:p>
            <w:pPr>
              <w:pStyle w:val="ListBullet"/>
              <w:spacing w:after="60"/>
              <w:ind w:left="389" w:hanging="202"/>
            </w:pPr>
            <w:r>
              <w:rPr>
                <w:rFonts w:ascii="Calibri" w:hAnsi="Calibri" w:eastAsia="Calibri"/>
                <w:b w:val="0"/>
                <w:i w:val="0"/>
                <w:color w:val="0B2545"/>
                <w:sz w:val="18"/>
              </w:rPr>
              <w:t>Prove the selected ID was offered.</w:t>
            </w:r>
          </w:p>
          <w:p>
            <w:pPr>
              <w:pStyle w:val="ListBullet"/>
              <w:spacing w:after="60"/>
              <w:ind w:left="389" w:hanging="202"/>
            </w:pPr>
            <w:r>
              <w:rPr>
                <w:rFonts w:ascii="Calibri" w:hAnsi="Calibri" w:eastAsia="Calibri"/>
                <w:b w:val="0"/>
                <w:i w:val="0"/>
                <w:color w:val="0B2545"/>
                <w:sz w:val="18"/>
              </w:rPr>
              <w:t>Invoke a canonical episode and verify its replay.</w:t>
            </w:r>
          </w:p>
          <w:p>
            <w:pPr>
              <w:pStyle w:val="ListBullet"/>
              <w:spacing w:after="60"/>
              <w:ind w:left="389" w:hanging="202"/>
            </w:pPr>
            <w:r>
              <w:rPr>
                <w:rFonts w:ascii="Calibri" w:hAnsi="Calibri" w:eastAsia="Calibri"/>
                <w:b w:val="0"/>
                <w:i w:val="0"/>
                <w:color w:val="0B2545"/>
                <w:sz w:val="18"/>
              </w:rPr>
              <w:t>Open the evidence produced by the match.</w:t>
            </w:r>
          </w:p>
        </w:tc>
        <w:tc>
          <w:tcPr>
            <w:tcW w:type="dxa" w:w="4680"/>
            <w:tcMar>
              <w:top w:w="150" w:type="dxa"/>
              <w:start w:w="120" w:type="dxa"/>
              <w:bottom w:w="150" w:type="dxa"/>
              <w:end w:w="120" w:type="dxa"/>
            </w:tcMar>
            <w:vAlign w:val="center"/>
            <w:shd w:fill="F4F6F9" w:val="clear"/>
            <w:tcBorders>
              <w:top w:val="single" w:sz="5" w:color="C9D5E3"/>
              <w:bottom w:val="single" w:sz="5" w:color="C9D5E3"/>
              <w:start w:val="single" w:sz="5" w:color="C9D5E3"/>
              <w:end w:val="single" w:sz="5" w:color="C9D5E3"/>
            </w:tcBorders>
          </w:tcPr>
          <w:p>
            <w:pPr>
              <w:spacing w:after="60"/>
            </w:pPr>
            <w:r/>
            <w:r>
              <w:rPr>
                <w:rFonts w:ascii="Calibri" w:hAnsi="Calibri" w:eastAsia="Calibri"/>
                <w:b/>
                <w:i w:val="0"/>
                <w:color w:val="2E74B5"/>
                <w:sz w:val="16"/>
              </w:rPr>
              <w:t>CHAPTER B</w:t>
            </w:r>
          </w:p>
          <w:p>
            <w:pPr>
              <w:spacing w:after="160"/>
            </w:pPr>
            <w:r>
              <w:rPr>
                <w:rFonts w:ascii="Calibri" w:hAnsi="Calibri" w:eastAsia="Calibri"/>
                <w:b/>
                <w:i w:val="0"/>
                <w:color w:val="1F4D78"/>
                <w:sz w:val="26"/>
              </w:rPr>
              <w:t>Let’s Analyze &amp; Improve</w:t>
            </w:r>
          </w:p>
          <w:p>
            <w:pPr>
              <w:pStyle w:val="ListBullet"/>
              <w:spacing w:after="60"/>
              <w:ind w:left="389" w:hanging="202"/>
            </w:pPr>
            <w:r>
              <w:rPr>
                <w:rFonts w:ascii="Calibri" w:hAnsi="Calibri" w:eastAsia="Calibri"/>
                <w:b w:val="0"/>
                <w:i w:val="0"/>
                <w:color w:val="0B2545"/>
                <w:sz w:val="18"/>
              </w:rPr>
              <w:t>Read the result and territory trajectory.</w:t>
            </w:r>
          </w:p>
          <w:p>
            <w:pPr>
              <w:pStyle w:val="ListBullet"/>
              <w:spacing w:after="60"/>
              <w:ind w:left="389" w:hanging="202"/>
            </w:pPr>
            <w:r>
              <w:rPr>
                <w:rFonts w:ascii="Calibri" w:hAnsi="Calibri" w:eastAsia="Calibri"/>
                <w:b w:val="0"/>
                <w:i w:val="0"/>
                <w:color w:val="0B2545"/>
                <w:sz w:val="18"/>
              </w:rPr>
              <w:t>Summarize action mix and decision reasons.</w:t>
            </w:r>
          </w:p>
          <w:p>
            <w:pPr>
              <w:pStyle w:val="ListBullet"/>
              <w:spacing w:after="60"/>
              <w:ind w:left="389" w:hanging="202"/>
            </w:pPr>
            <w:r>
              <w:rPr>
                <w:rFonts w:ascii="Calibri" w:hAnsi="Calibri" w:eastAsia="Calibri"/>
                <w:b w:val="0"/>
                <w:i w:val="0"/>
                <w:color w:val="0B2545"/>
                <w:sz w:val="18"/>
              </w:rPr>
              <w:t>Separate strategy failure from fallback or degradation.</w:t>
            </w:r>
          </w:p>
          <w:p>
            <w:pPr>
              <w:pStyle w:val="ListBullet"/>
              <w:spacing w:after="60"/>
              <w:ind w:left="389" w:hanging="202"/>
            </w:pPr>
            <w:r>
              <w:rPr>
                <w:rFonts w:ascii="Calibri" w:hAnsi="Calibri" w:eastAsia="Calibri"/>
                <w:b w:val="0"/>
                <w:i w:val="0"/>
                <w:color w:val="0B2545"/>
                <w:sz w:val="18"/>
              </w:rPr>
              <w:t>Form one explicit hypothesis.</w:t>
            </w:r>
          </w:p>
          <w:p>
            <w:pPr>
              <w:pStyle w:val="ListBullet"/>
              <w:spacing w:after="60"/>
              <w:ind w:left="389" w:hanging="202"/>
            </w:pPr>
            <w:r>
              <w:rPr>
                <w:rFonts w:ascii="Calibri" w:hAnsi="Calibri" w:eastAsia="Calibri"/>
                <w:b w:val="0"/>
                <w:i w:val="0"/>
                <w:color w:val="0B2545"/>
                <w:sz w:val="18"/>
              </w:rPr>
              <w:t>Change one behavior—not five at once.</w:t>
            </w:r>
          </w:p>
          <w:p>
            <w:pPr>
              <w:pStyle w:val="ListBullet"/>
              <w:spacing w:after="60"/>
              <w:ind w:left="389" w:hanging="202"/>
            </w:pPr>
            <w:r>
              <w:rPr>
                <w:rFonts w:ascii="Calibri" w:hAnsi="Calibri" w:eastAsia="Calibri"/>
                <w:b w:val="0"/>
                <w:i w:val="0"/>
                <w:color w:val="0B2545"/>
                <w:sz w:val="18"/>
              </w:rPr>
              <w:t>Rerun the same controlled scenario.</w:t>
            </w:r>
          </w:p>
          <w:p>
            <w:pPr>
              <w:pStyle w:val="ListBullet"/>
              <w:spacing w:after="60"/>
              <w:ind w:left="389" w:hanging="202"/>
            </w:pPr>
            <w:r>
              <w:rPr>
                <w:rFonts w:ascii="Calibri" w:hAnsi="Calibri" w:eastAsia="Calibri"/>
                <w:b w:val="0"/>
                <w:i w:val="0"/>
                <w:color w:val="0B2545"/>
                <w:sz w:val="18"/>
              </w:rPr>
              <w:t>Compare baseline and challenger evidence.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EEF5FB" w:val="clear"/>
            <w:tcBorders>
              <w:start w:val="single" w:sz="16" w:color="2E74B5"/>
              <w:top w:val="nil"/>
              <w:bottom w:val="nil"/>
              <w:end w:val="nil"/>
            </w:tcBorders>
          </w:tcPr>
          <w:p>
            <w:pPr>
              <w:keepNext/>
              <w:spacing w:after="60"/>
            </w:pPr>
            <w:r>
              <w:rPr>
                <w:rFonts w:ascii="Calibri" w:hAnsi="Calibri" w:eastAsia="Calibri"/>
                <w:b/>
                <w:i w:val="0"/>
                <w:color w:val="2E74B5"/>
                <w:sz w:val="21"/>
              </w:rPr>
              <w:t>Safe “Run All” behavior</w:t>
            </w:r>
          </w:p>
          <w:p>
            <w:pPr>
              <w:spacing w:after="0" w:line="276" w:lineRule="auto"/>
            </w:pPr>
            <w:r>
              <w:rPr>
                <w:rFonts w:ascii="Calibri" w:hAnsi="Calibri" w:eastAsia="Calibri"/>
                <w:b w:val="0"/>
                <w:i w:val="0"/>
                <w:color w:val="0B2545"/>
                <w:sz w:val="20"/>
              </w:rPr>
              <w:t>The core notebook path must be deterministic and non-publishing. Upload, league submission, browser sign-in, and any other hosted mutation belong in a clearly separated optional final section that requires explicit user action.</w:t>
            </w:r>
          </w:p>
        </w:tc>
      </w:tr>
    </w:tbl>
    <w:p>
      <w:pPr>
        <w:spacing w:after="0"/>
      </w:pPr>
    </w:p>
    <w:p>
      <w:pPr>
        <w:pStyle w:val="PWLabel"/>
      </w:pPr>
      <w:r>
        <w:rPr>
          <w:rFonts w:ascii="Calibri" w:hAnsi="Calibri" w:eastAsia="Calibri"/>
          <w:b/>
          <w:i w:val="0"/>
          <w:color w:val="2E74B5"/>
          <w:sz w:val="16"/>
        </w:rPr>
        <w:t>PROPOSED  /  ARCHITECTURE CONSTRAINTS</w:t>
      </w:r>
    </w:p>
    <w:p>
      <w:pPr>
        <w:pStyle w:val="Heading1"/>
      </w:pPr>
      <w:r>
        <w:t>7. Guardrails</w:t>
      </w:r>
    </w:p>
    <w:tbl>
      <w:tblPr>
        <w:tblStyle w:val="TableGrid"/>
        <w:tblW w:type="dxa" w:w="9360"/>
        <w:tblLayout w:type="fixed"/>
        <w:tblLook w:firstColumn="1" w:firstRow="1" w:lastColumn="0" w:lastRow="0" w:noHBand="0" w:noVBand="1" w:val="04A0"/>
        <w:jc w:val="left"/>
        <w:tblInd w:w="120" w:type="dxa"/>
      </w:tblPr>
      <w:tblGrid>
        <w:gridCol w:w="4680"/>
        <w:gridCol w:w="4680"/>
      </w:tblGrid>
      <w:tr>
        <w:trPr>
          <w:cantSplit/>
          <w:tblHeader w:val="true"/>
          <w:tblHeader w:val="true"/>
        </w:trPr>
        <w:tc>
          <w:tcPr>
            <w:tcW w:type="dxa" w:w="468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Do</w:t>
            </w:r>
          </w:p>
        </w:tc>
        <w:tc>
          <w:tcPr>
            <w:tcW w:type="dxa" w:w="468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Do not</w:t>
            </w:r>
          </w:p>
        </w:tc>
      </w:tr>
      <w:tr>
        <w:trPr>
          <w:cantSplit/>
        </w:trPr>
        <w:tc>
          <w:tcPr>
            <w:tcW w:type="dxa" w:w="4680"/>
            <w:tcMar>
              <w:top w:w="80" w:type="dxa"/>
              <w:start w:w="120" w:type="dxa"/>
              <w:bottom w:w="80" w:type="dxa"/>
              <w:end w:w="120" w:type="dxa"/>
            </w:tcMar>
            <w:vAlign w:val="center"/>
          </w:tcPr>
          <w:p>
            <w:pPr>
              <w:spacing w:after="0" w:line="269" w:lineRule="auto"/>
            </w:pPr>
            <w:r/>
            <w:r>
              <w:rPr>
                <w:rFonts w:ascii="Calibri" w:hAnsi="Calibri"/>
                <w:b w:val="0"/>
                <w:color w:val="0B2545"/>
                <w:sz w:val="18"/>
              </w:rPr>
              <w:t>Invoke the existing Node policy and canonical adapter paths.</w:t>
            </w:r>
          </w:p>
        </w:tc>
        <w:tc>
          <w:tcPr>
            <w:tcW w:type="dxa" w:w="4680"/>
            <w:tcMar>
              <w:top w:w="80" w:type="dxa"/>
              <w:start w:w="120" w:type="dxa"/>
              <w:bottom w:w="80" w:type="dxa"/>
              <w:end w:w="120" w:type="dxa"/>
            </w:tcMar>
            <w:vAlign w:val="center"/>
          </w:tcPr>
          <w:p>
            <w:pPr>
              <w:spacing w:after="0" w:line="269" w:lineRule="auto"/>
            </w:pPr>
            <w:r/>
            <w:r>
              <w:rPr>
                <w:rFonts w:ascii="Calibri" w:hAnsi="Calibri"/>
                <w:b w:val="0"/>
                <w:color w:val="0B2545"/>
                <w:sz w:val="18"/>
              </w:rPr>
              <w:t>Rewrite the protocol or policy runtime as notebook-only Python.</w:t>
            </w:r>
          </w:p>
        </w:tc>
      </w:tr>
      <w:tr>
        <w:trPr>
          <w:cantSplit/>
        </w:trPr>
        <w:tc>
          <w:tcPr>
            <w:tcW w:type="dxa" w:w="4680"/>
            <w:tcMar>
              <w:top w:w="80" w:type="dxa"/>
              <w:start w:w="120" w:type="dxa"/>
              <w:bottom w:w="80" w:type="dxa"/>
              <w:end w:w="120" w:type="dxa"/>
            </w:tcMar>
            <w:vAlign w:val="center"/>
          </w:tcPr>
          <w:p>
            <w:pPr>
              <w:spacing w:after="0" w:line="269" w:lineRule="auto"/>
            </w:pPr>
            <w:r/>
            <w:r>
              <w:rPr>
                <w:rFonts w:ascii="Calibri" w:hAnsi="Calibri"/>
                <w:b w:val="0"/>
                <w:color w:val="0B2545"/>
                <w:sz w:val="18"/>
              </w:rPr>
              <w:t>Choose exactly one supplied LegalAction.id.</w:t>
            </w:r>
          </w:p>
        </w:tc>
        <w:tc>
          <w:tcPr>
            <w:tcW w:type="dxa" w:w="4680"/>
            <w:tcMar>
              <w:top w:w="80" w:type="dxa"/>
              <w:start w:w="120" w:type="dxa"/>
              <w:bottom w:w="80" w:type="dxa"/>
              <w:end w:w="120" w:type="dxa"/>
            </w:tcMar>
            <w:vAlign w:val="center"/>
          </w:tcPr>
          <w:p>
            <w:pPr>
              <w:spacing w:after="0" w:line="269" w:lineRule="auto"/>
            </w:pPr>
            <w:r/>
            <w:r>
              <w:rPr>
                <w:rFonts w:ascii="Calibri" w:hAnsi="Calibri"/>
                <w:b w:val="0"/>
                <w:color w:val="0B2545"/>
                <w:sz w:val="18"/>
              </w:rPr>
              <w:t>Construct raw OpenFront intents or bypass validation.</w:t>
            </w:r>
          </w:p>
        </w:tc>
      </w:tr>
      <w:tr>
        <w:trPr>
          <w:cantSplit/>
        </w:trPr>
        <w:tc>
          <w:tcPr>
            <w:tcW w:type="dxa" w:w="4680"/>
            <w:tcMar>
              <w:top w:w="80" w:type="dxa"/>
              <w:start w:w="120" w:type="dxa"/>
              <w:bottom w:w="80" w:type="dxa"/>
              <w:end w:w="120" w:type="dxa"/>
            </w:tcMar>
            <w:vAlign w:val="center"/>
          </w:tcPr>
          <w:p>
            <w:pPr>
              <w:spacing w:after="0" w:line="269" w:lineRule="auto"/>
            </w:pPr>
            <w:r/>
            <w:r>
              <w:rPr>
                <w:rFonts w:ascii="Calibri" w:hAnsi="Calibri"/>
                <w:b w:val="0"/>
                <w:color w:val="0B2545"/>
                <w:sz w:val="18"/>
              </w:rPr>
              <w:t>Use frozen, sanitized fixtures for offline teaching.</w:t>
            </w:r>
          </w:p>
        </w:tc>
        <w:tc>
          <w:tcPr>
            <w:tcW w:type="dxa" w:w="4680"/>
            <w:tcMar>
              <w:top w:w="80" w:type="dxa"/>
              <w:start w:w="120" w:type="dxa"/>
              <w:bottom w:w="80" w:type="dxa"/>
              <w:end w:w="120" w:type="dxa"/>
            </w:tcMar>
            <w:vAlign w:val="center"/>
          </w:tcPr>
          <w:p>
            <w:pPr>
              <w:spacing w:after="0" w:line="269" w:lineRule="auto"/>
            </w:pPr>
            <w:r/>
            <w:r>
              <w:rPr>
                <w:rFonts w:ascii="Calibri" w:hAnsi="Calibri"/>
                <w:b w:val="0"/>
                <w:color w:val="0B2545"/>
                <w:sz w:val="18"/>
              </w:rPr>
              <w:t>Depend on a changing hosted league for the core lesson.</w:t>
            </w:r>
          </w:p>
        </w:tc>
      </w:tr>
      <w:tr>
        <w:trPr>
          <w:cantSplit/>
        </w:trPr>
        <w:tc>
          <w:tcPr>
            <w:tcW w:type="dxa" w:w="4680"/>
            <w:tcMar>
              <w:top w:w="80" w:type="dxa"/>
              <w:start w:w="120" w:type="dxa"/>
              <w:bottom w:w="80" w:type="dxa"/>
              <w:end w:w="120" w:type="dxa"/>
            </w:tcMar>
            <w:vAlign w:val="center"/>
          </w:tcPr>
          <w:p>
            <w:pPr>
              <w:spacing w:after="0" w:line="269" w:lineRule="auto"/>
            </w:pPr>
            <w:r/>
            <w:r>
              <w:rPr>
                <w:rFonts w:ascii="Calibri" w:hAnsi="Calibri"/>
                <w:b w:val="0"/>
                <w:color w:val="0B2545"/>
                <w:sz w:val="18"/>
              </w:rPr>
              <w:t>Expose fallback and planner-degradation telemetry.</w:t>
            </w:r>
          </w:p>
        </w:tc>
        <w:tc>
          <w:tcPr>
            <w:tcW w:type="dxa" w:w="4680"/>
            <w:tcMar>
              <w:top w:w="80" w:type="dxa"/>
              <w:start w:w="120" w:type="dxa"/>
              <w:bottom w:w="80" w:type="dxa"/>
              <w:end w:w="120" w:type="dxa"/>
            </w:tcMar>
            <w:vAlign w:val="center"/>
          </w:tcPr>
          <w:p>
            <w:pPr>
              <w:spacing w:after="0" w:line="269" w:lineRule="auto"/>
            </w:pPr>
            <w:r/>
            <w:r>
              <w:rPr>
                <w:rFonts w:ascii="Calibri" w:hAnsi="Calibri"/>
                <w:b w:val="0"/>
                <w:color w:val="0B2545"/>
                <w:sz w:val="18"/>
              </w:rPr>
              <w:t>Hide an unhealthy strategic brain behind legal executor output.</w:t>
            </w:r>
          </w:p>
        </w:tc>
      </w:tr>
      <w:tr>
        <w:trPr>
          <w:cantSplit/>
        </w:trPr>
        <w:tc>
          <w:tcPr>
            <w:tcW w:type="dxa" w:w="4680"/>
            <w:tcMar>
              <w:top w:w="80" w:type="dxa"/>
              <w:start w:w="120" w:type="dxa"/>
              <w:bottom w:w="80" w:type="dxa"/>
              <w:end w:w="120" w:type="dxa"/>
            </w:tcMar>
            <w:vAlign w:val="center"/>
          </w:tcPr>
          <w:p>
            <w:pPr>
              <w:spacing w:after="0" w:line="269" w:lineRule="auto"/>
            </w:pPr>
            <w:r/>
            <w:r>
              <w:rPr>
                <w:rFonts w:ascii="Calibri" w:hAnsi="Calibri"/>
                <w:b w:val="0"/>
                <w:color w:val="0B2545"/>
                <w:sz w:val="18"/>
              </w:rPr>
              <w:t>Fail loudly with a useful next step.</w:t>
            </w:r>
          </w:p>
        </w:tc>
        <w:tc>
          <w:tcPr>
            <w:tcW w:type="dxa" w:w="4680"/>
            <w:tcMar>
              <w:top w:w="80" w:type="dxa"/>
              <w:start w:w="120" w:type="dxa"/>
              <w:bottom w:w="80" w:type="dxa"/>
              <w:end w:w="120" w:type="dxa"/>
            </w:tcMar>
            <w:vAlign w:val="center"/>
          </w:tcPr>
          <w:p>
            <w:pPr>
              <w:spacing w:after="0" w:line="269" w:lineRule="auto"/>
            </w:pPr>
            <w:r/>
            <w:r>
              <w:rPr>
                <w:rFonts w:ascii="Calibri" w:hAnsi="Calibri"/>
                <w:b w:val="0"/>
                <w:color w:val="0B2545"/>
                <w:sz w:val="18"/>
              </w:rPr>
              <w:t>Save secrets, private paths, or raw internal logs in outputs.</w:t>
            </w:r>
          </w:p>
        </w:tc>
      </w:tr>
    </w:tbl>
    <w:p>
      <w:pPr>
        <w:spacing w:after="0"/>
      </w:pPr>
    </w:p>
    <w:p>
      <w:pPr>
        <w:spacing w:after="0"/>
      </w:pPr>
      <w:r>
        <w:br w:type="page"/>
      </w:r>
    </w:p>
    <w:p>
      <w:pPr>
        <w:pStyle w:val="PWLabel"/>
      </w:pPr>
      <w:r>
        <w:rPr>
          <w:rFonts w:ascii="Calibri" w:hAnsi="Calibri" w:eastAsia="Calibri"/>
          <w:b/>
          <w:i w:val="0"/>
          <w:color w:val="2E74B5"/>
          <w:sz w:val="16"/>
        </w:rPr>
        <w:t>PROPOSED  /  SCOPE AND QUALITY BAR</w:t>
      </w:r>
    </w:p>
    <w:p>
      <w:pPr>
        <w:pStyle w:val="Heading1"/>
      </w:pPr>
      <w:r>
        <w:t>8. Deliverables</w:t>
      </w:r>
    </w:p>
    <w:p>
      <w:pPr>
        <w:pStyle w:val="ListBullet"/>
      </w:pPr>
      <w:r>
        <w:rPr>
          <w:rFonts w:ascii="Calibri" w:hAnsi="Calibri" w:eastAsia="Calibri"/>
          <w:b w:val="0"/>
          <w:i w:val="0"/>
          <w:color w:val="0B2545"/>
          <w:sz w:val="20"/>
        </w:rPr>
        <w:t xml:space="preserve"> A guided “Let’s Play Proxy War” chapter and a linked “Let’s Analyze &amp; Improve” chapter; one notebook or two is acceptable.</w:t>
      </w:r>
    </w:p>
    <w:p>
      <w:pPr>
        <w:pStyle w:val="ListBullet"/>
      </w:pPr>
      <w:r>
        <w:rPr>
          <w:rFonts w:ascii="Calibri" w:hAnsi="Calibri" w:eastAsia="Calibri"/>
          <w:b w:val="0"/>
          <w:i w:val="0"/>
          <w:color w:val="0B2545"/>
          <w:sz w:val="20"/>
        </w:rPr>
        <w:t xml:space="preserve"> A small frozen and sanitized evidence bundle: representative decision requests, one result, one verified replay, and decision metadata.</w:t>
      </w:r>
    </w:p>
    <w:p>
      <w:pPr>
        <w:pStyle w:val="ListBullet"/>
      </w:pPr>
      <w:r>
        <w:rPr>
          <w:rFonts w:ascii="Calibri" w:hAnsi="Calibri" w:eastAsia="Calibri"/>
          <w:b w:val="0"/>
          <w:i w:val="0"/>
          <w:color w:val="0B2545"/>
          <w:sz w:val="20"/>
        </w:rPr>
        <w:t xml:space="preserve"> A minimal helper layer that calls canonical policy and adapter code instead of duplicating it.</w:t>
      </w:r>
    </w:p>
    <w:p>
      <w:pPr>
        <w:pStyle w:val="ListBullet"/>
      </w:pPr>
      <w:r>
        <w:rPr>
          <w:rFonts w:ascii="Calibri" w:hAnsi="Calibri" w:eastAsia="Calibri"/>
          <w:b w:val="0"/>
          <w:i w:val="0"/>
          <w:color w:val="0B2545"/>
          <w:sz w:val="20"/>
        </w:rPr>
        <w:t xml:space="preserve"> A concise README and a pinned or recorded tested environment.</w:t>
      </w:r>
    </w:p>
    <w:p>
      <w:pPr>
        <w:pStyle w:val="ListBullet"/>
      </w:pPr>
      <w:r>
        <w:rPr>
          <w:rFonts w:ascii="Calibri" w:hAnsi="Calibri" w:eastAsia="Calibri"/>
          <w:b w:val="0"/>
          <w:i w:val="0"/>
          <w:color w:val="0B2545"/>
          <w:sz w:val="20"/>
        </w:rPr>
        <w:t xml:space="preserve"> Executed HTML or PDF exports with meaningful outputs, plus an automated clean-run check.</w:t>
      </w:r>
    </w:p>
    <w:p>
      <w:pPr>
        <w:pStyle w:val="ListBullet"/>
      </w:pPr>
      <w:r>
        <w:rPr>
          <w:rFonts w:ascii="Calibri" w:hAnsi="Calibri" w:eastAsia="Calibri"/>
          <w:b w:val="0"/>
          <w:i w:val="0"/>
          <w:color w:val="0B2545"/>
          <w:sz w:val="20"/>
        </w:rPr>
        <w:t xml:space="preserve"> Existing licenses and attribution retained for every reused component.</w:t>
      </w:r>
    </w:p>
    <w:p>
      <w:pPr>
        <w:pStyle w:val="Heading1"/>
      </w:pPr>
      <w:r>
        <w:t>9. Definition of done</w:t>
      </w:r>
    </w:p>
    <w:p>
      <w:pPr>
        <w:spacing w:after="80"/>
        <w:ind w:left="403" w:hanging="403"/>
      </w:pPr>
      <w:r>
        <w:rPr>
          <w:rFonts w:ascii="Calibri" w:hAnsi="Calibri" w:eastAsia="Calibri"/>
          <w:b/>
          <w:i w:val="0"/>
          <w:color w:val="2E74B5"/>
          <w:sz w:val="20"/>
        </w:rPr>
        <w:t xml:space="preserve">☐  </w:t>
      </w:r>
      <w:r>
        <w:rPr>
          <w:rFonts w:ascii="Calibri" w:hAnsi="Calibri" w:eastAsia="Calibri"/>
          <w:b w:val="0"/>
          <w:i w:val="0"/>
          <w:color w:val="0B2545"/>
          <w:sz w:val="20"/>
        </w:rPr>
        <w:t>A fresh macOS, Linux, or WSL user can run the core path top to bottom without internal-repository access or hosted credentials.</w:t>
      </w:r>
    </w:p>
    <w:p>
      <w:pPr>
        <w:spacing w:after="80"/>
        <w:ind w:left="403" w:hanging="403"/>
      </w:pPr>
      <w:r>
        <w:rPr>
          <w:rFonts w:ascii="Calibri" w:hAnsi="Calibri" w:eastAsia="Calibri"/>
          <w:b/>
          <w:i w:val="0"/>
          <w:color w:val="2E74B5"/>
          <w:sz w:val="20"/>
        </w:rPr>
        <w:t xml:space="preserve">☐  </w:t>
      </w:r>
      <w:r>
        <w:rPr>
          <w:rFonts w:ascii="Calibri" w:hAnsi="Calibri" w:eastAsia="Calibri"/>
          <w:b w:val="0"/>
          <w:i w:val="0"/>
          <w:color w:val="0B2545"/>
          <w:sz w:val="20"/>
        </w:rPr>
        <w:t>Every saved executable cell has an execution count and meaningful output; a clean-room or CI run proves it.</w:t>
      </w:r>
    </w:p>
    <w:p>
      <w:pPr>
        <w:spacing w:after="80"/>
        <w:ind w:left="403" w:hanging="403"/>
      </w:pPr>
      <w:r>
        <w:rPr>
          <w:rFonts w:ascii="Calibri" w:hAnsi="Calibri" w:eastAsia="Calibri"/>
          <w:b/>
          <w:i w:val="0"/>
          <w:color w:val="2E74B5"/>
          <w:sz w:val="20"/>
        </w:rPr>
        <w:t xml:space="preserve">☐  </w:t>
      </w:r>
      <w:r>
        <w:rPr>
          <w:rFonts w:ascii="Calibri" w:hAnsi="Calibri" w:eastAsia="Calibri"/>
          <w:b w:val="0"/>
          <w:i w:val="0"/>
          <w:color w:val="0B2545"/>
          <w:sz w:val="20"/>
        </w:rPr>
        <w:t>The selected action is always one of the supplied legal IDs, and an invalid-ID fixture visibly fails.</w:t>
      </w:r>
    </w:p>
    <w:p>
      <w:pPr>
        <w:spacing w:after="80"/>
        <w:ind w:left="403" w:hanging="403"/>
      </w:pPr>
      <w:r>
        <w:rPr>
          <w:rFonts w:ascii="Calibri" w:hAnsi="Calibri" w:eastAsia="Calibri"/>
          <w:b/>
          <w:i w:val="0"/>
          <w:color w:val="2E74B5"/>
          <w:sz w:val="20"/>
        </w:rPr>
        <w:t xml:space="preserve">☐  </w:t>
      </w:r>
      <w:r>
        <w:rPr>
          <w:rFonts w:ascii="Calibri" w:hAnsi="Calibri" w:eastAsia="Calibri"/>
          <w:b w:val="0"/>
          <w:i w:val="0"/>
          <w:color w:val="0B2545"/>
          <w:sz w:val="20"/>
        </w:rPr>
        <w:t>A full episode uses the canonical adapter, validator, and runner; the resulting replay verifies.</w:t>
      </w:r>
    </w:p>
    <w:p>
      <w:pPr>
        <w:spacing w:after="80"/>
        <w:ind w:left="403" w:hanging="403"/>
      </w:pPr>
      <w:r>
        <w:rPr>
          <w:rFonts w:ascii="Calibri" w:hAnsi="Calibri" w:eastAsia="Calibri"/>
          <w:b/>
          <w:i w:val="0"/>
          <w:color w:val="2E74B5"/>
          <w:sz w:val="20"/>
        </w:rPr>
        <w:t xml:space="preserve">☐  </w:t>
      </w:r>
      <w:r>
        <w:rPr>
          <w:rFonts w:ascii="Calibri" w:hAnsi="Calibri" w:eastAsia="Calibri"/>
          <w:b w:val="0"/>
          <w:i w:val="0"/>
          <w:color w:val="0B2545"/>
          <w:sz w:val="20"/>
        </w:rPr>
        <w:t>Analysis shows the outcome, action mix, decision reasons, and fallback/planner-degradation signals.</w:t>
      </w:r>
    </w:p>
    <w:p>
      <w:pPr>
        <w:spacing w:after="80"/>
        <w:ind w:left="403" w:hanging="403"/>
      </w:pPr>
      <w:r>
        <w:rPr>
          <w:rFonts w:ascii="Calibri" w:hAnsi="Calibri" w:eastAsia="Calibri"/>
          <w:b/>
          <w:i w:val="0"/>
          <w:color w:val="2E74B5"/>
          <w:sz w:val="20"/>
        </w:rPr>
        <w:t xml:space="preserve">☐  </w:t>
      </w:r>
      <w:r>
        <w:rPr>
          <w:rFonts w:ascii="Calibri" w:hAnsi="Calibri" w:eastAsia="Calibri"/>
          <w:b w:val="0"/>
          <w:i w:val="0"/>
          <w:color w:val="0B2545"/>
          <w:sz w:val="20"/>
        </w:rPr>
        <w:t>The learner completes one reproducible baseline-versus-change comparison.</w:t>
      </w:r>
    </w:p>
    <w:p>
      <w:pPr>
        <w:spacing w:after="80"/>
        <w:ind w:left="403" w:hanging="403"/>
      </w:pPr>
      <w:r>
        <w:rPr>
          <w:rFonts w:ascii="Calibri" w:hAnsi="Calibri" w:eastAsia="Calibri"/>
          <w:b/>
          <w:i w:val="0"/>
          <w:color w:val="2E74B5"/>
          <w:sz w:val="20"/>
        </w:rPr>
        <w:t xml:space="preserve">☐  </w:t>
      </w:r>
      <w:r>
        <w:rPr>
          <w:rFonts w:ascii="Calibri" w:hAnsi="Calibri" w:eastAsia="Calibri"/>
          <w:b w:val="0"/>
          <w:i w:val="0"/>
          <w:color w:val="0B2545"/>
          <w:sz w:val="20"/>
        </w:rPr>
        <w:t>“Run All” cannot upload, submit, publish, or trigger browser authentication.</w:t>
      </w:r>
    </w:p>
    <w:p>
      <w:pPr>
        <w:spacing w:after="80"/>
        <w:ind w:left="403" w:hanging="403"/>
      </w:pPr>
      <w:r>
        <w:rPr>
          <w:rFonts w:ascii="Calibri" w:hAnsi="Calibri" w:eastAsia="Calibri"/>
          <w:b/>
          <w:i w:val="0"/>
          <w:color w:val="2E74B5"/>
          <w:sz w:val="20"/>
        </w:rPr>
        <w:t xml:space="preserve">☐  </w:t>
      </w:r>
      <w:r>
        <w:rPr>
          <w:rFonts w:ascii="Calibri" w:hAnsi="Calibri" w:eastAsia="Calibri"/>
          <w:b w:val="0"/>
          <w:i w:val="0"/>
          <w:color w:val="0B2545"/>
          <w:sz w:val="20"/>
        </w:rPr>
        <w:t>No secrets, private paths, internal project-state files, or unreviewed raw logs are included.</w:t>
      </w:r>
    </w:p>
    <w:p>
      <w:pPr>
        <w:spacing w:after="80"/>
        <w:ind w:left="403" w:hanging="403"/>
      </w:pPr>
      <w:r>
        <w:rPr>
          <w:rFonts w:ascii="Calibri" w:hAnsi="Calibri" w:eastAsia="Calibri"/>
          <w:b/>
          <w:i w:val="0"/>
          <w:color w:val="2E74B5"/>
          <w:sz w:val="20"/>
        </w:rPr>
        <w:t xml:space="preserve">☐  </w:t>
      </w:r>
      <w:r>
        <w:rPr>
          <w:rFonts w:ascii="Calibri" w:hAnsi="Calibri" w:eastAsia="Calibri"/>
          <w:b w:val="0"/>
          <w:i w:val="0"/>
          <w:color w:val="0B2545"/>
          <w:sz w:val="20"/>
        </w:rPr>
        <w:t>Errors fail loudly and point to the next concrete action.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EEF5FB" w:val="clear"/>
            <w:tcBorders>
              <w:start w:val="single" w:sz="16" w:color="2E74B5"/>
              <w:top w:val="nil"/>
              <w:bottom w:val="nil"/>
              <w:end w:val="nil"/>
            </w:tcBorders>
          </w:tcPr>
          <w:p>
            <w:pPr>
              <w:keepNext/>
              <w:spacing w:after="60"/>
            </w:pPr>
            <w:r>
              <w:rPr>
                <w:rFonts w:ascii="Calibri" w:hAnsi="Calibri" w:eastAsia="Calibri"/>
                <w:b/>
                <w:i w:val="0"/>
                <w:color w:val="2E74B5"/>
                <w:sz w:val="21"/>
              </w:rPr>
              <w:t>Success in one sentence</w:t>
            </w:r>
          </w:p>
          <w:p>
            <w:pPr>
              <w:spacing w:after="0" w:line="276" w:lineRule="auto"/>
            </w:pPr>
            <w:r>
              <w:rPr>
                <w:rFonts w:ascii="Calibri" w:hAnsi="Calibri" w:eastAsia="Calibri"/>
                <w:b w:val="0"/>
                <w:i w:val="0"/>
                <w:color w:val="0B2545"/>
                <w:sz w:val="20"/>
              </w:rPr>
              <w:t>A successful first version takes someone with no Proxy War context from a clean checkout to a validated agent decision and a replay-based improvement experiment, with every step executed, inspectable, and reproducible.</w:t>
            </w:r>
          </w:p>
        </w:tc>
      </w:tr>
    </w:tbl>
    <w:p>
      <w:pPr>
        <w:spacing w:after="0"/>
      </w:pPr>
    </w:p>
    <w:p>
      <w:pPr>
        <w:spacing w:after="0"/>
      </w:pPr>
      <w:r>
        <w:br w:type="page"/>
      </w:r>
    </w:p>
    <w:p>
      <w:pPr>
        <w:pStyle w:val="PWLabel"/>
      </w:pPr>
      <w:r>
        <w:rPr>
          <w:rFonts w:ascii="Calibri" w:hAnsi="Calibri" w:eastAsia="Calibri"/>
          <w:b/>
          <w:i w:val="0"/>
          <w:color w:val="2E74B5"/>
          <w:sz w:val="16"/>
        </w:rPr>
        <w:t>PROPOSED  /  EXTERNAL HANDOFF</w:t>
      </w:r>
    </w:p>
    <w:p>
      <w:pPr>
        <w:pStyle w:val="Heading1"/>
      </w:pPr>
      <w:r>
        <w:t>10. Public-safe handoff</w:t>
      </w:r>
    </w:p>
    <w:p>
      <w:pPr>
        <w:keepLines/>
      </w:pPr>
      <w:r>
        <w:rPr>
          <w:rFonts w:ascii="Calibri" w:hAnsi="Calibri" w:eastAsia="Calibri"/>
          <w:b w:val="0"/>
          <w:i w:val="0"/>
          <w:color w:val="0B2545"/>
          <w:sz w:val="21"/>
        </w:rPr>
        <w:t>Share these curated public links. Do not send the whole development workspace: it adds internal operating material without helping the collaborator understand the agent path.</w:t>
      </w:r>
    </w:p>
    <w:tbl>
      <w:tblPr>
        <w:tblStyle w:val="TableGrid"/>
        <w:tblW w:type="dxa" w:w="9360"/>
        <w:tblLayout w:type="fixed"/>
        <w:tblLook w:firstColumn="1" w:firstRow="1" w:lastColumn="0" w:lastRow="0" w:noHBand="0" w:noVBand="1" w:val="04A0"/>
        <w:jc w:val="left"/>
        <w:tblInd w:w="120" w:type="dxa"/>
      </w:tblPr>
      <w:tblGrid>
        <w:gridCol w:w="2850"/>
        <w:gridCol w:w="6510"/>
      </w:tblGrid>
      <w:tr>
        <w:trPr>
          <w:cantSplit/>
          <w:tblHeader w:val="true"/>
          <w:tblHeader w:val="true"/>
        </w:trPr>
        <w:tc>
          <w:tcPr>
            <w:tcW w:type="dxa" w:w="285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Public material</w:t>
            </w:r>
          </w:p>
        </w:tc>
        <w:tc>
          <w:tcPr>
            <w:tcW w:type="dxa" w:w="651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Link and use</w:t>
            </w:r>
          </w:p>
        </w:tc>
      </w:tr>
      <w:tr>
        <w:trPr>
          <w:cantSplit/>
        </w:trPr>
        <w:tc>
          <w:tcPr>
            <w:tcW w:type="dxa" w:w="2850"/>
            <w:tcMar>
              <w:top w:w="80" w:type="dxa"/>
              <w:start w:w="120" w:type="dxa"/>
              <w:bottom w:w="80" w:type="dxa"/>
              <w:end w:w="120" w:type="dxa"/>
            </w:tcMar>
            <w:vAlign w:val="center"/>
          </w:tcPr>
          <w:p>
            <w:pPr>
              <w:spacing w:after="0" w:line="269" w:lineRule="auto"/>
            </w:pPr>
            <w:r/>
            <w:r>
              <w:rPr>
                <w:rFonts w:ascii="Calibri" w:hAnsi="Calibri"/>
                <w:b/>
                <w:color w:val="0B2545"/>
                <w:sz w:val="18"/>
              </w:rPr>
              <w:t>Current Proxy War source</w:t>
            </w:r>
          </w:p>
        </w:tc>
        <w:tc>
          <w:tcPr>
            <w:tcW w:type="dxa" w:w="6510"/>
            <w:tcMar>
              <w:top w:w="80" w:type="dxa"/>
              <w:start w:w="120" w:type="dxa"/>
              <w:bottom w:w="80" w:type="dxa"/>
              <w:end w:w="120" w:type="dxa"/>
            </w:tcMar>
            <w:vAlign w:val="center"/>
          </w:tcPr>
          <w:p>
            <w:pPr>
              <w:spacing w:after="40"/>
            </w:pPr>
            <w:r/>
            <w:hyperlink r:id="rId14">
              <w:r>
                <w:rPr>
                  <w:rFonts w:ascii="Calibri" w:hAnsi="Calibri"/>
                  <w:color w:val="2E74B5"/>
                  <w:sz w:val="19"/>
                  <w:u w:val="single"/>
                </w:rPr>
                <w:t>github.com/0xNad/ProxyWar ↗</w:t>
              </w:r>
            </w:hyperlink>
          </w:p>
          <w:p>
            <w:pPr>
              <w:spacing w:after="0"/>
            </w:pPr>
            <w:r>
              <w:rPr>
                <w:rFonts w:ascii="Calibri" w:hAnsi="Calibri" w:eastAsia="Calibri"/>
                <w:b w:val="0"/>
                <w:i w:val="0"/>
                <w:color w:val="475569"/>
                <w:sz w:val="17"/>
              </w:rPr>
              <w:t>Moving public landing page for the current codebase.</w:t>
            </w:r>
          </w:p>
        </w:tc>
      </w:tr>
      <w:tr>
        <w:trPr>
          <w:cantSplit/>
        </w:trPr>
        <w:tc>
          <w:tcPr>
            <w:tcW w:type="dxa" w:w="2850"/>
            <w:tcMar>
              <w:top w:w="80" w:type="dxa"/>
              <w:start w:w="120" w:type="dxa"/>
              <w:bottom w:w="80" w:type="dxa"/>
              <w:end w:w="120" w:type="dxa"/>
            </w:tcMar>
            <w:vAlign w:val="center"/>
          </w:tcPr>
          <w:p>
            <w:pPr>
              <w:spacing w:after="0" w:line="269" w:lineRule="auto"/>
            </w:pPr>
            <w:r/>
            <w:r>
              <w:rPr>
                <w:rFonts w:ascii="Calibri" w:hAnsi="Calibri"/>
                <w:b/>
                <w:color w:val="0B2545"/>
                <w:sz w:val="18"/>
              </w:rPr>
              <w:t>Reviewed starter snapshot</w:t>
            </w:r>
          </w:p>
        </w:tc>
        <w:tc>
          <w:tcPr>
            <w:tcW w:type="dxa" w:w="6510"/>
            <w:tcMar>
              <w:top w:w="80" w:type="dxa"/>
              <w:start w:w="120" w:type="dxa"/>
              <w:bottom w:w="80" w:type="dxa"/>
              <w:end w:w="120" w:type="dxa"/>
            </w:tcMar>
            <w:vAlign w:val="center"/>
          </w:tcPr>
          <w:p>
            <w:pPr>
              <w:spacing w:after="40"/>
            </w:pPr>
            <w:r/>
            <w:hyperlink r:id="rId15">
              <w:r>
                <w:rPr>
                  <w:rFonts w:ascii="Calibri" w:hAnsi="Calibri"/>
                  <w:color w:val="2E74B5"/>
                  <w:sz w:val="19"/>
                  <w:u w:val="single"/>
                </w:rPr>
                <w:t>Open immutable reviewed snapshot ↗</w:t>
              </w:r>
            </w:hyperlink>
          </w:p>
          <w:p>
            <w:pPr>
              <w:spacing w:after="0"/>
            </w:pPr>
            <w:r>
              <w:rPr>
                <w:rFonts w:ascii="Calibri" w:hAnsi="Calibri" w:eastAsia="Calibri"/>
                <w:b w:val="0"/>
                <w:i w:val="0"/>
                <w:color w:val="475569"/>
                <w:sz w:val="17"/>
              </w:rPr>
              <w:t>Immutable technical source used for this brief. Treat hosted-runtime language inside it as dated and recheck it.</w:t>
            </w:r>
          </w:p>
        </w:tc>
      </w:tr>
      <w:tr>
        <w:trPr>
          <w:cantSplit/>
        </w:trPr>
        <w:tc>
          <w:tcPr>
            <w:tcW w:type="dxa" w:w="2850"/>
            <w:tcMar>
              <w:top w:w="80" w:type="dxa"/>
              <w:start w:w="120" w:type="dxa"/>
              <w:bottom w:w="80" w:type="dxa"/>
              <w:end w:w="120" w:type="dxa"/>
            </w:tcMar>
            <w:vAlign w:val="center"/>
          </w:tcPr>
          <w:p>
            <w:pPr>
              <w:spacing w:after="0" w:line="269" w:lineRule="auto"/>
            </w:pPr>
            <w:r/>
            <w:r>
              <w:rPr>
                <w:rFonts w:ascii="Calibri" w:hAnsi="Calibri"/>
                <w:b/>
                <w:color w:val="0B2545"/>
                <w:sz w:val="18"/>
              </w:rPr>
              <w:t>Reviewed protocol snapshot</w:t>
            </w:r>
          </w:p>
        </w:tc>
        <w:tc>
          <w:tcPr>
            <w:tcW w:type="dxa" w:w="6510"/>
            <w:tcMar>
              <w:top w:w="80" w:type="dxa"/>
              <w:start w:w="120" w:type="dxa"/>
              <w:bottom w:w="80" w:type="dxa"/>
              <w:end w:w="120" w:type="dxa"/>
            </w:tcMar>
            <w:vAlign w:val="center"/>
          </w:tcPr>
          <w:p>
            <w:pPr>
              <w:spacing w:after="40"/>
            </w:pPr>
            <w:r/>
            <w:hyperlink r:id="rId16">
              <w:r>
                <w:rPr>
                  <w:rFonts w:ascii="Calibri" w:hAnsi="Calibri"/>
                  <w:color w:val="2E74B5"/>
                  <w:sz w:val="19"/>
                  <w:u w:val="single"/>
                </w:rPr>
                <w:t>Open immutable reviewed snapshot ↗</w:t>
              </w:r>
            </w:hyperlink>
          </w:p>
          <w:p>
            <w:pPr>
              <w:spacing w:after="0"/>
            </w:pPr>
            <w:r>
              <w:rPr>
                <w:rFonts w:ascii="Calibri" w:hAnsi="Calibri" w:eastAsia="Calibri"/>
                <w:b w:val="0"/>
                <w:i w:val="0"/>
                <w:color w:val="475569"/>
                <w:sz w:val="17"/>
              </w:rPr>
              <w:t>Immutable minimal decision contract; the starter shows the wider transport lifecycle.</w:t>
            </w:r>
          </w:p>
        </w:tc>
      </w:tr>
      <w:tr>
        <w:trPr>
          <w:cantSplit/>
        </w:trPr>
        <w:tc>
          <w:tcPr>
            <w:tcW w:type="dxa" w:w="2850"/>
            <w:tcMar>
              <w:top w:w="80" w:type="dxa"/>
              <w:start w:w="120" w:type="dxa"/>
              <w:bottom w:w="80" w:type="dxa"/>
              <w:end w:w="120" w:type="dxa"/>
            </w:tcMar>
            <w:vAlign w:val="center"/>
          </w:tcPr>
          <w:p>
            <w:pPr>
              <w:spacing w:after="0" w:line="269" w:lineRule="auto"/>
            </w:pPr>
            <w:r/>
            <w:r>
              <w:rPr>
                <w:rFonts w:ascii="Calibri" w:hAnsi="Calibri"/>
                <w:b/>
                <w:color w:val="0B2545"/>
                <w:sz w:val="18"/>
              </w:rPr>
              <w:t>Coworld source</w:t>
            </w:r>
          </w:p>
        </w:tc>
        <w:tc>
          <w:tcPr>
            <w:tcW w:type="dxa" w:w="6510"/>
            <w:tcMar>
              <w:top w:w="80" w:type="dxa"/>
              <w:start w:w="120" w:type="dxa"/>
              <w:bottom w:w="80" w:type="dxa"/>
              <w:end w:w="120" w:type="dxa"/>
            </w:tcMar>
            <w:vAlign w:val="center"/>
          </w:tcPr>
          <w:p>
            <w:pPr>
              <w:spacing w:after="40"/>
            </w:pPr>
            <w:r/>
            <w:hyperlink r:id="rId17">
              <w:r>
                <w:rPr>
                  <w:rFonts w:ascii="Calibri" w:hAnsi="Calibri"/>
                  <w:color w:val="2E74B5"/>
                  <w:sz w:val="19"/>
                  <w:u w:val="single"/>
                </w:rPr>
                <w:t>github.com/Metta-AI/coworld ↗</w:t>
              </w:r>
            </w:hyperlink>
          </w:p>
          <w:p>
            <w:pPr>
              <w:spacing w:after="0"/>
            </w:pPr>
            <w:r>
              <w:rPr>
                <w:rFonts w:ascii="Calibri" w:hAnsi="Calibri" w:eastAsia="Calibri"/>
                <w:b w:val="0"/>
                <w:i w:val="0"/>
                <w:color w:val="475569"/>
                <w:sz w:val="17"/>
              </w:rPr>
              <w:t>The upstream packaging and league tooling.</w:t>
            </w:r>
          </w:p>
        </w:tc>
      </w:tr>
      <w:tr>
        <w:trPr>
          <w:cantSplit/>
        </w:trPr>
        <w:tc>
          <w:tcPr>
            <w:tcW w:type="dxa" w:w="2850"/>
            <w:tcMar>
              <w:top w:w="80" w:type="dxa"/>
              <w:start w:w="120" w:type="dxa"/>
              <w:bottom w:w="80" w:type="dxa"/>
              <w:end w:w="120" w:type="dxa"/>
            </w:tcMar>
            <w:vAlign w:val="center"/>
          </w:tcPr>
          <w:p>
            <w:pPr>
              <w:spacing w:after="0" w:line="269" w:lineRule="auto"/>
            </w:pPr>
            <w:r/>
            <w:r>
              <w:rPr>
                <w:rFonts w:ascii="Calibri" w:hAnsi="Calibri"/>
                <w:b/>
                <w:color w:val="0B2545"/>
                <w:sz w:val="18"/>
              </w:rPr>
              <w:t>Public league view</w:t>
            </w:r>
          </w:p>
        </w:tc>
        <w:tc>
          <w:tcPr>
            <w:tcW w:type="dxa" w:w="6510"/>
            <w:tcMar>
              <w:top w:w="80" w:type="dxa"/>
              <w:start w:w="120" w:type="dxa"/>
              <w:bottom w:w="80" w:type="dxa"/>
              <w:end w:w="120" w:type="dxa"/>
            </w:tcMar>
            <w:vAlign w:val="center"/>
          </w:tcPr>
          <w:p>
            <w:pPr>
              <w:spacing w:after="40"/>
            </w:pPr>
            <w:r/>
            <w:hyperlink r:id="rId18">
              <w:r>
                <w:rPr>
                  <w:rFonts w:ascii="Calibri" w:hAnsi="Calibri"/>
                  <w:color w:val="2E74B5"/>
                  <w:sz w:val="19"/>
                  <w:u w:val="single"/>
                </w:rPr>
                <w:t>beta.proxywar.xyz/league ↗</w:t>
              </w:r>
            </w:hyperlink>
          </w:p>
          <w:p>
            <w:pPr>
              <w:spacing w:after="0"/>
            </w:pPr>
            <w:r>
              <w:rPr>
                <w:rFonts w:ascii="Calibri" w:hAnsi="Calibri" w:eastAsia="Calibri"/>
                <w:b w:val="0"/>
                <w:i w:val="0"/>
                <w:color w:val="475569"/>
                <w:sz w:val="17"/>
              </w:rPr>
              <w:t>Live demonstration; treat current contents as changeable, not source truth.</w:t>
            </w:r>
          </w:p>
        </w:tc>
      </w:tr>
      <w:tr>
        <w:trPr>
          <w:cantSplit/>
        </w:trPr>
        <w:tc>
          <w:tcPr>
            <w:tcW w:type="dxa" w:w="2850"/>
            <w:tcMar>
              <w:top w:w="80" w:type="dxa"/>
              <w:start w:w="120" w:type="dxa"/>
              <w:bottom w:w="80" w:type="dxa"/>
              <w:end w:w="120" w:type="dxa"/>
            </w:tcMar>
            <w:vAlign w:val="center"/>
          </w:tcPr>
          <w:p>
            <w:pPr>
              <w:spacing w:after="0" w:line="269" w:lineRule="auto"/>
            </w:pPr>
            <w:r/>
            <w:r>
              <w:rPr>
                <w:rFonts w:ascii="Calibri" w:hAnsi="Calibri"/>
                <w:b/>
                <w:color w:val="0B2545"/>
                <w:sz w:val="18"/>
              </w:rPr>
              <w:t>Softmax Observatory</w:t>
            </w:r>
          </w:p>
        </w:tc>
        <w:tc>
          <w:tcPr>
            <w:tcW w:type="dxa" w:w="6510"/>
            <w:tcMar>
              <w:top w:w="80" w:type="dxa"/>
              <w:start w:w="120" w:type="dxa"/>
              <w:bottom w:w="80" w:type="dxa"/>
              <w:end w:w="120" w:type="dxa"/>
            </w:tcMar>
            <w:vAlign w:val="center"/>
          </w:tcPr>
          <w:p>
            <w:pPr>
              <w:spacing w:after="40"/>
            </w:pPr>
            <w:r/>
            <w:hyperlink r:id="rId19">
              <w:r>
                <w:rPr>
                  <w:rFonts w:ascii="Calibri" w:hAnsi="Calibri"/>
                  <w:color w:val="2E74B5"/>
                  <w:sz w:val="19"/>
                  <w:u w:val="single"/>
                </w:rPr>
                <w:t>softmax.com/observatory ↗</w:t>
              </w:r>
            </w:hyperlink>
          </w:p>
          <w:p>
            <w:pPr>
              <w:spacing w:after="0"/>
            </w:pPr>
            <w:r>
              <w:rPr>
                <w:rFonts w:ascii="Calibri" w:hAnsi="Calibri" w:eastAsia="Calibri"/>
                <w:b w:val="0"/>
                <w:i w:val="0"/>
                <w:color w:val="475569"/>
                <w:sz w:val="17"/>
              </w:rPr>
              <w:t>Hosted policy and match evidence; Softmax sign-in is currently required.</w:t>
            </w:r>
          </w:p>
        </w:tc>
      </w:tr>
    </w:tbl>
    <w:p>
      <w:pPr>
        <w:spacing w:after="0"/>
      </w:pPr>
    </w:p>
    <w:p>
      <w:pPr>
        <w:pStyle w:val="Heading2"/>
      </w:pPr>
      <w:r>
        <w:t>Materials still to provide for the prototype</w:t>
      </w:r>
    </w:p>
    <w:p>
      <w:pPr>
        <w:pStyle w:val="ListBullet"/>
      </w:pPr>
      <w:r>
        <w:rPr>
          <w:rFonts w:ascii="Calibri" w:hAnsi="Calibri" w:eastAsia="Calibri"/>
          <w:b w:val="0"/>
          <w:i w:val="0"/>
          <w:color w:val="0B2545"/>
          <w:sz w:val="20"/>
        </w:rPr>
        <w:t xml:space="preserve"> One scrubbed decision_request fixture that exercises a meaningful choice.</w:t>
      </w:r>
    </w:p>
    <w:p>
      <w:pPr>
        <w:pStyle w:val="ListBullet"/>
      </w:pPr>
      <w:r>
        <w:rPr>
          <w:rFonts w:ascii="Calibri" w:hAnsi="Calibri" w:eastAsia="Calibri"/>
          <w:b w:val="0"/>
          <w:i w:val="0"/>
          <w:color w:val="0B2545"/>
          <w:sz w:val="20"/>
        </w:rPr>
        <w:t xml:space="preserve"> One reviewed replay/results bundle with decision metadata and no private logs.</w:t>
      </w:r>
    </w:p>
    <w:p>
      <w:pPr>
        <w:pStyle w:val="ListBullet"/>
      </w:pPr>
      <w:r>
        <w:rPr>
          <w:rFonts w:ascii="Calibri" w:hAnsi="Calibri" w:eastAsia="Calibri"/>
          <w:b w:val="0"/>
          <w:i w:val="0"/>
          <w:color w:val="0B2545"/>
          <w:sz w:val="20"/>
        </w:rPr>
        <w:t xml:space="preserve"> One stable replay screenshot or public-safe preview asset.</w:t>
      </w:r>
    </w:p>
    <w:p>
      <w:pPr>
        <w:pStyle w:val="ListBullet"/>
      </w:pPr>
      <w:r>
        <w:rPr>
          <w:rFonts w:ascii="Calibri" w:hAnsi="Calibri" w:eastAsia="Calibri"/>
          <w:b w:val="0"/>
          <w:i w:val="0"/>
          <w:color w:val="0B2545"/>
          <w:sz w:val="20"/>
        </w:rPr>
        <w:t xml:space="preserve"> The exact environment versions proven by the clean-run check.</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FFF7E8" w:val="clear"/>
            <w:tcBorders>
              <w:start w:val="single" w:sz="16" w:color="A85D00"/>
              <w:top w:val="nil"/>
              <w:bottom w:val="nil"/>
              <w:end w:val="nil"/>
            </w:tcBorders>
          </w:tcPr>
          <w:p>
            <w:pPr>
              <w:keepNext/>
              <w:spacing w:after="60"/>
            </w:pPr>
            <w:r>
              <w:rPr>
                <w:rFonts w:ascii="Calibri" w:hAnsi="Calibri" w:eastAsia="Calibri"/>
                <w:b/>
                <w:i w:val="0"/>
                <w:color w:val="A85D00"/>
                <w:sz w:val="21"/>
              </w:rPr>
              <w:t>Source synchronization note</w:t>
            </w:r>
          </w:p>
          <w:p>
            <w:pPr>
              <w:spacing w:after="0" w:line="276" w:lineRule="auto"/>
            </w:pPr>
            <w:r>
              <w:rPr>
                <w:rFonts w:ascii="Calibri" w:hAnsi="Calibri" w:eastAsia="Calibri"/>
                <w:b w:val="0"/>
                <w:i w:val="0"/>
                <w:color w:val="0B2545"/>
                <w:sz w:val="20"/>
              </w:rPr>
              <w:t>At the time of this audit, the separate proxywar-coworld-starter repository trails the newer starter inside the main ProxyWar repository. Use the reviewed technical snapshot above until the standalone repository is synchronized, and recheck any hosted-service claims inside it.</w:t>
            </w:r>
          </w:p>
        </w:tc>
      </w:tr>
    </w:tbl>
    <w:p>
      <w:pPr>
        <w:spacing w:after="0"/>
      </w:pPr>
    </w:p>
    <w:p>
      <w:pPr>
        <w:pStyle w:val="Heading2"/>
      </w:pPr>
      <w:r>
        <w:t>Keep out of the handoff</w:t>
      </w:r>
    </w:p>
    <w:p>
      <w:pPr>
        <w:keepLines/>
      </w:pPr>
      <w:r>
        <w:rPr>
          <w:rFonts w:ascii="Calibri" w:hAnsi="Calibri" w:eastAsia="Calibri"/>
          <w:b w:val="0"/>
          <w:i w:val="0"/>
          <w:color w:val="0B2545"/>
          <w:sz w:val="21"/>
        </w:rPr>
        <w:t>Internal project-state, operating-layer files, competitive strategy documents, raw model prompts or logs, temporary certification artifacts, credentials, authentication material, and operator runbooks.</w:t>
      </w:r>
    </w:p>
    <w:p>
      <w:pPr>
        <w:pStyle w:val="PWLabel"/>
      </w:pPr>
      <w:r>
        <w:rPr>
          <w:rFonts w:ascii="Calibri" w:hAnsi="Calibri" w:eastAsia="Calibri"/>
          <w:b/>
          <w:i w:val="0"/>
          <w:color w:val="2E74B5"/>
          <w:sz w:val="16"/>
        </w:rPr>
        <w:t>PROPOSED  /  FIRST MILESTONE</w:t>
      </w:r>
    </w:p>
    <w:p>
      <w:pPr>
        <w:pStyle w:val="Heading1"/>
      </w:pPr>
      <w:r>
        <w:t>11. Recommended prototype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EEF5FB" w:val="clear"/>
            <w:tcBorders>
              <w:start w:val="single" w:sz="16" w:color="2E74B5"/>
              <w:top w:val="nil"/>
              <w:bottom w:val="nil"/>
              <w:end w:val="nil"/>
            </w:tcBorders>
          </w:tcPr>
          <w:p>
            <w:pPr>
              <w:keepNext/>
              <w:spacing w:after="60"/>
            </w:pPr>
            <w:r>
              <w:rPr>
                <w:rFonts w:ascii="Calibri" w:hAnsi="Calibri" w:eastAsia="Calibri"/>
                <w:b/>
                <w:i w:val="0"/>
                <w:color w:val="2E74B5"/>
                <w:sz w:val="21"/>
              </w:rPr>
              <w:t>Prove the learning loop before the full hosted path</w:t>
            </w:r>
          </w:p>
          <w:p>
            <w:pPr>
              <w:spacing w:after="0" w:line="276" w:lineRule="auto"/>
            </w:pPr>
            <w:r>
              <w:rPr>
                <w:rFonts w:ascii="Calibri" w:hAnsi="Calibri" w:eastAsia="Calibri"/>
                <w:b w:val="0"/>
                <w:i w:val="0"/>
                <w:color w:val="0B2545"/>
                <w:sz w:val="20"/>
              </w:rPr>
              <w:t>Frozen request → starter decision → canonical legal-ID validation → supplied replay/results bundle → one diagnostic chart. Once that is clean, add a full local episode and keep hosted upload/submission as an explicit optional step.</w:t>
            </w:r>
          </w:p>
        </w:tc>
      </w:tr>
    </w:tbl>
    <w:p>
      <w:pPr>
        <w:spacing w:after="0"/>
      </w:pPr>
    </w:p>
    <w:p>
      <w:pPr>
        <w:keepLines/>
        <w:spacing w:after="120"/>
      </w:pPr>
      <w:r>
        <w:rPr>
          <w:rFonts w:ascii="Calibri" w:hAnsi="Calibri" w:eastAsia="Calibri"/>
          <w:b w:val="0"/>
          <w:i w:val="0"/>
          <w:color w:val="0B2545"/>
          <w:sz w:val="21"/>
        </w:rPr>
        <w:t>This is deliberately smaller than a complete end-to-end integration. It proves the collaborator can teach the right architecture and create a useful analysis loop before either side spends time on live-service edge cases.</w:t>
      </w:r>
    </w:p>
    <w:p>
      <w:pPr>
        <w:pStyle w:val="Heading2"/>
      </w:pPr>
      <w:r>
        <w:t>Working split for the first prototype</w:t>
      </w:r>
    </w:p>
    <w:tbl>
      <w:tblPr>
        <w:tblStyle w:val="TableGrid"/>
        <w:tblW w:type="dxa" w:w="9360"/>
        <w:tblLayout w:type="fixed"/>
        <w:tblLook w:firstColumn="1" w:firstRow="1" w:lastColumn="0" w:lastRow="0" w:noHBand="0" w:noVBand="1" w:val="04A0"/>
        <w:jc w:val="left"/>
        <w:tblInd w:w="120" w:type="dxa"/>
      </w:tblPr>
      <w:tblGrid>
        <w:gridCol w:w="4680"/>
        <w:gridCol w:w="4680"/>
      </w:tblGrid>
      <w:tr>
        <w:trPr>
          <w:cantSplit/>
          <w:tblHeader w:val="true"/>
          <w:tblHeader w:val="true"/>
        </w:trPr>
        <w:tc>
          <w:tcPr>
            <w:tcW w:type="dxa" w:w="468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Proxy War provides</w:t>
            </w:r>
          </w:p>
        </w:tc>
        <w:tc>
          <w:tcPr>
            <w:tcW w:type="dxa" w:w="468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Notebook collaborator provides</w:t>
            </w:r>
          </w:p>
        </w:tc>
      </w:tr>
      <w:tr>
        <w:trPr>
          <w:cantSplit/>
        </w:trPr>
        <w:tc>
          <w:tcPr>
            <w:tcW w:type="dxa" w:w="4680"/>
            <w:tcMar>
              <w:top w:w="80" w:type="dxa"/>
              <w:start w:w="120" w:type="dxa"/>
              <w:bottom w:w="80" w:type="dxa"/>
              <w:end w:w="120" w:type="dxa"/>
            </w:tcMar>
            <w:vAlign w:val="center"/>
          </w:tcPr>
          <w:p>
            <w:pPr>
              <w:spacing w:after="0" w:line="269" w:lineRule="auto"/>
            </w:pPr>
            <w:r/>
            <w:r>
              <w:rPr>
                <w:rFonts w:ascii="Calibri" w:hAnsi="Calibri"/>
                <w:b w:val="0"/>
                <w:color w:val="0B2545"/>
                <w:sz w:val="18"/>
              </w:rPr>
              <w:t>Reviewed source and protocol snapshots.</w:t>
            </w:r>
          </w:p>
        </w:tc>
        <w:tc>
          <w:tcPr>
            <w:tcW w:type="dxa" w:w="4680"/>
            <w:tcMar>
              <w:top w:w="80" w:type="dxa"/>
              <w:start w:w="120" w:type="dxa"/>
              <w:bottom w:w="80" w:type="dxa"/>
              <w:end w:w="120" w:type="dxa"/>
            </w:tcMar>
            <w:vAlign w:val="center"/>
          </w:tcPr>
          <w:p>
            <w:pPr>
              <w:spacing w:after="0" w:line="269" w:lineRule="auto"/>
            </w:pPr>
            <w:r/>
            <w:r>
              <w:rPr>
                <w:rFonts w:ascii="Calibri" w:hAnsi="Calibri"/>
                <w:b w:val="0"/>
                <w:color w:val="0B2545"/>
                <w:sz w:val="18"/>
              </w:rPr>
              <w:t>An executed, progressive notebook structure.</w:t>
            </w:r>
          </w:p>
        </w:tc>
      </w:tr>
      <w:tr>
        <w:trPr>
          <w:cantSplit/>
        </w:trPr>
        <w:tc>
          <w:tcPr>
            <w:tcW w:type="dxa" w:w="4680"/>
            <w:tcMar>
              <w:top w:w="80" w:type="dxa"/>
              <w:start w:w="120" w:type="dxa"/>
              <w:bottom w:w="80" w:type="dxa"/>
              <w:end w:w="120" w:type="dxa"/>
            </w:tcMar>
            <w:vAlign w:val="center"/>
          </w:tcPr>
          <w:p>
            <w:pPr>
              <w:spacing w:after="0" w:line="269" w:lineRule="auto"/>
            </w:pPr>
            <w:r/>
            <w:r>
              <w:rPr>
                <w:rFonts w:ascii="Calibri" w:hAnsi="Calibri"/>
                <w:b w:val="0"/>
                <w:color w:val="0B2545"/>
                <w:sz w:val="18"/>
              </w:rPr>
              <w:t>A scrubbed decision-request fixture.</w:t>
            </w:r>
          </w:p>
        </w:tc>
        <w:tc>
          <w:tcPr>
            <w:tcW w:type="dxa" w:w="4680"/>
            <w:tcMar>
              <w:top w:w="80" w:type="dxa"/>
              <w:start w:w="120" w:type="dxa"/>
              <w:bottom w:w="80" w:type="dxa"/>
              <w:end w:w="120" w:type="dxa"/>
            </w:tcMar>
            <w:vAlign w:val="center"/>
          </w:tcPr>
          <w:p>
            <w:pPr>
              <w:spacing w:after="0" w:line="269" w:lineRule="auto"/>
            </w:pPr>
            <w:r/>
            <w:r>
              <w:rPr>
                <w:rFonts w:ascii="Calibri" w:hAnsi="Calibri"/>
                <w:b w:val="0"/>
                <w:color w:val="0B2545"/>
                <w:sz w:val="18"/>
              </w:rPr>
              <w:t>A minimal helper layer and clear visual outputs.</w:t>
            </w:r>
          </w:p>
        </w:tc>
      </w:tr>
      <w:tr>
        <w:trPr>
          <w:cantSplit/>
        </w:trPr>
        <w:tc>
          <w:tcPr>
            <w:tcW w:type="dxa" w:w="4680"/>
            <w:tcMar>
              <w:top w:w="80" w:type="dxa"/>
              <w:start w:w="120" w:type="dxa"/>
              <w:bottom w:w="80" w:type="dxa"/>
              <w:end w:w="120" w:type="dxa"/>
            </w:tcMar>
            <w:vAlign w:val="center"/>
          </w:tcPr>
          <w:p>
            <w:pPr>
              <w:spacing w:after="0" w:line="269" w:lineRule="auto"/>
            </w:pPr>
            <w:r/>
            <w:r>
              <w:rPr>
                <w:rFonts w:ascii="Calibri" w:hAnsi="Calibri"/>
                <w:b w:val="0"/>
                <w:color w:val="0B2545"/>
                <w:sz w:val="18"/>
              </w:rPr>
              <w:t>A reviewed replay/results evidence bundle.</w:t>
            </w:r>
          </w:p>
        </w:tc>
        <w:tc>
          <w:tcPr>
            <w:tcW w:type="dxa" w:w="4680"/>
            <w:tcMar>
              <w:top w:w="80" w:type="dxa"/>
              <w:start w:w="120" w:type="dxa"/>
              <w:bottom w:w="80" w:type="dxa"/>
              <w:end w:w="120" w:type="dxa"/>
            </w:tcMar>
            <w:vAlign w:val="center"/>
          </w:tcPr>
          <w:p>
            <w:pPr>
              <w:spacing w:after="0" w:line="269" w:lineRule="auto"/>
            </w:pPr>
            <w:r/>
            <w:r>
              <w:rPr>
                <w:rFonts w:ascii="Calibri" w:hAnsi="Calibri"/>
                <w:b w:val="0"/>
                <w:color w:val="0B2545"/>
                <w:sz w:val="18"/>
              </w:rPr>
              <w:t>One baseline-versus-change analysis experiment.</w:t>
            </w:r>
          </w:p>
        </w:tc>
      </w:tr>
      <w:tr>
        <w:trPr>
          <w:cantSplit/>
        </w:trPr>
        <w:tc>
          <w:tcPr>
            <w:tcW w:type="dxa" w:w="4680"/>
            <w:tcMar>
              <w:top w:w="80" w:type="dxa"/>
              <w:start w:w="120" w:type="dxa"/>
              <w:bottom w:w="80" w:type="dxa"/>
              <w:end w:w="120" w:type="dxa"/>
            </w:tcMar>
            <w:vAlign w:val="center"/>
          </w:tcPr>
          <w:p>
            <w:pPr>
              <w:spacing w:after="0" w:line="269" w:lineRule="auto"/>
            </w:pPr>
            <w:r/>
            <w:r>
              <w:rPr>
                <w:rFonts w:ascii="Calibri" w:hAnsi="Calibri"/>
                <w:b w:val="0"/>
                <w:color w:val="0B2545"/>
                <w:sz w:val="18"/>
              </w:rPr>
              <w:t>Canonical validation hooks and acceptance review.</w:t>
            </w:r>
          </w:p>
        </w:tc>
        <w:tc>
          <w:tcPr>
            <w:tcW w:type="dxa" w:w="4680"/>
            <w:tcMar>
              <w:top w:w="80" w:type="dxa"/>
              <w:start w:w="120" w:type="dxa"/>
              <w:bottom w:w="80" w:type="dxa"/>
              <w:end w:w="120" w:type="dxa"/>
            </w:tcMar>
            <w:vAlign w:val="center"/>
          </w:tcPr>
          <w:p>
            <w:pPr>
              <w:spacing w:after="0" w:line="269" w:lineRule="auto"/>
            </w:pPr>
            <w:r/>
            <w:r>
              <w:rPr>
                <w:rFonts w:ascii="Calibri" w:hAnsi="Calibri"/>
                <w:b w:val="0"/>
                <w:color w:val="0B2545"/>
                <w:sz w:val="18"/>
              </w:rPr>
              <w:t>Recorded versions, clean-run proof, and an export.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EEF5FB" w:val="clear"/>
            <w:tcBorders>
              <w:start w:val="single" w:sz="16" w:color="2E74B5"/>
              <w:top w:val="nil"/>
              <w:bottom w:val="nil"/>
              <w:end w:val="nil"/>
            </w:tcBorders>
          </w:tcPr>
          <w:p>
            <w:pPr>
              <w:keepNext/>
              <w:spacing w:after="60"/>
            </w:pPr>
            <w:r>
              <w:rPr>
                <w:rFonts w:ascii="Calibri" w:hAnsi="Calibri" w:eastAsia="Calibri"/>
                <w:b/>
                <w:i w:val="0"/>
                <w:color w:val="2E74B5"/>
                <w:sz w:val="21"/>
              </w:rPr>
              <w:t>Decision requested</w:t>
            </w:r>
          </w:p>
          <w:p>
            <w:pPr>
              <w:spacing w:after="0" w:line="276" w:lineRule="auto"/>
            </w:pPr>
            <w:r>
              <w:rPr>
                <w:rFonts w:ascii="Calibri" w:hAnsi="Calibri" w:eastAsia="Calibri"/>
                <w:b w:val="0"/>
                <w:i w:val="0"/>
                <w:color w:val="0B2545"/>
                <w:sz w:val="20"/>
              </w:rPr>
              <w:t>Confirm whether this play → analyze → improve shape matches the collaboration you had in mind. If it does, the next step is to exchange the scrubbed fixture and evidence bundle and build the deliberately small prototype above.</w:t>
            </w:r>
          </w:p>
        </w:tc>
      </w:tr>
    </w:tbl>
    <w:p>
      <w:pPr>
        <w:spacing w:after="0"/>
      </w:pP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b w:val="0"/>
        <w:i w:val="0"/>
        <w:color w:val="667085"/>
        <w:sz w:val="17"/>
      </w:rPr>
      <w:t xml:space="preserve">PAGE </w:t>
    </w:r>
    <w:r>
      <w:rPr>
        <w:rFonts w:ascii="Calibri" w:hAnsi="Calibri" w:eastAsia="Calibri"/>
        <w:b w:val="0"/>
        <w:i w:val="0"/>
        <w:color w:val="667085"/>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b/>
        <w:i w:val="0"/>
        <w:color w:val="667085"/>
        <w:sz w:val="16"/>
      </w:rPr>
      <w:t>COLLABORATION BRIEF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5" w:color="C9D5E3"/>
      </w:pBdr>
    </w:pPr>
    <w:r>
      <w:rPr>
        <w:rFonts w:ascii="Calibri" w:hAnsi="Calibri" w:eastAsia="Calibri"/>
        <w:b/>
        <w:i w:val="0"/>
        <w:color w:val="667085"/>
        <w:sz w:val="17"/>
      </w:rPr>
      <w:t>PROXY WAR  /  GUIDED AGENT LAB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5" w:color="2E74B5"/>
      </w:pBdr>
    </w:pPr>
    <w:r>
      <w:rPr>
        <w:rFonts w:ascii="Calibri" w:hAnsi="Calibri" w:eastAsia="Calibri"/>
        <w:b/>
        <w:i w:val="0"/>
        <w:color w:val="2E74B5"/>
        <w:sz w:val="17"/>
      </w:rPr>
      <w:t>PROXY WAR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Calibri" w:hAnsi="Calibri" w:eastAsia="Calibri"/>
      <w:b w:val="0"/>
      <w:i/>
      <w:iCs/>
      <w:color w:val="475569"/>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eastAsia="Calibri"/>
      <w:color w:val="0B2545"/>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eastAsia="Calibri"/>
      <w:color w:val="0B2545"/>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WCode">
    <w:name w:val="PW Code"/>
    <w:pPr>
      <w:keepLines/>
      <w:spacing w:before="80" w:after="120" w:line="240" w:lineRule="auto"/>
      <w:ind w:left="230" w:right="173"/>
    </w:pPr>
    <w:rPr>
      <w:rFonts w:ascii="Consolas" w:hAnsi="Consolas" w:eastAsia="Consolas"/>
      <w:color w:val="0B2545"/>
      <w:sz w:val="17"/>
    </w:rPr>
  </w:style>
  <w:style w:type="paragraph" w:customStyle="1" w:styleId="PWKicker">
    <w:name w:val="PW Kicker"/>
    <w:pPr>
      <w:spacing w:after="160"/>
    </w:pPr>
    <w:rPr>
      <w:rFonts w:ascii="Calibri" w:hAnsi="Calibri" w:eastAsia="Calibri"/>
      <w:b/>
      <w:color w:val="2E74B5"/>
      <w:sz w:val="18"/>
    </w:rPr>
  </w:style>
  <w:style w:type="paragraph" w:customStyle="1" w:styleId="PWLabel">
    <w:name w:val="PW Label"/>
    <w:pPr>
      <w:keepNext/>
      <w:spacing w:after="60"/>
    </w:pPr>
    <w:rPr>
      <w:rFonts w:ascii="Calibri" w:hAnsi="Calibri" w:eastAsia="Calibri"/>
      <w:b/>
      <w:color w:val="2E74B5"/>
      <w:sz w:val="16"/>
    </w:rPr>
  </w:style>
  <w:style w:type="paragraph" w:customStyle="1" w:styleId="PWSmall">
    <w:name w:val="PW Small"/>
    <w:pPr>
      <w:spacing w:after="80" w:line="269" w:lineRule="auto"/>
    </w:pPr>
    <w:rPr>
      <w:rFonts w:ascii="Calibri" w:hAnsi="Calibri" w:eastAsia="Calibr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github.com/0xNad/ProxyWar" TargetMode="External"/><Relationship Id="rId15" Type="http://schemas.openxmlformats.org/officeDocument/2006/relationships/hyperlink" Target="https://github.com/0xNad/ProxyWar/tree/333bdc39a3e6d2653bef208f46b100b4b7d18e5c/coworld-adapter/tester-starter-llm" TargetMode="External"/><Relationship Id="rId16" Type="http://schemas.openxmlformats.org/officeDocument/2006/relationships/hyperlink" Target="https://github.com/0xNad/ProxyWar/blob/333bdc39a3e6d2653bef208f46b100b4b7d18e5c/coworld-adapter/docs/player-protocol.md" TargetMode="External"/><Relationship Id="rId17" Type="http://schemas.openxmlformats.org/officeDocument/2006/relationships/hyperlink" Target="https://github.com/Metta-AI/coworld" TargetMode="External"/><Relationship Id="rId18" Type="http://schemas.openxmlformats.org/officeDocument/2006/relationships/hyperlink" Target="https://beta.proxywar.xyz/league" TargetMode="External"/><Relationship Id="rId19" Type="http://schemas.openxmlformats.org/officeDocument/2006/relationships/hyperlink" Target="https://softmax.com/observa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Let’s Play Proxy War — Guided Agent Lab Collaboration Brief</dc:title>
  <dc:subject>Existing Proxy War agent materials and a proposal for a guided notebook experience</dc:subject>
  <dc:creator>Proxy War</dc:creator>
  <cp:keywords>Proxy War, Coworld, agent lab, notebook, replay, LegalAction</cp:keywords>
  <dc:description>External-shareable collaboration brief assembled from public repository materials.</dc:description>
  <cp:lastModifiedBy/>
  <cp:revision>1</cp:revision>
  <dcterms:created xsi:type="dcterms:W3CDTF">2013-12-23T23:15:00Z</dcterms:created>
  <dcterms:modified xsi:type="dcterms:W3CDTF">2013-12-23T23:15:00Z</dcterms:modified>
  <cp:category/>
</cp:coreProperties>
</file>