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WKicker"/>
      </w:pPr>
      <w:r>
        <w:rPr>
          <w:rFonts w:ascii="Calibri" w:hAnsi="Calibri" w:eastAsia="Calibri"/>
          <w:b/>
          <w:i w:val="0"/>
          <w:color w:val="2E74B5"/>
          <w:sz w:val="18"/>
        </w:rPr>
        <w:t>PROXY WAR  •  NOTEBOOK CONTEXT</w:t>
      </w:r>
    </w:p>
    <w:p>
      <w:pPr>
        <w:pStyle w:val="Title"/>
        <w:spacing w:before="500"/>
      </w:pPr>
      <w:r>
        <w:t>Could “Let’s Play” fit Proxy War?</w:t>
      </w:r>
    </w:p>
    <w:p>
      <w:pPr>
        <w:pStyle w:val="Subtitle"/>
        <w:pBdr>
          <w:bottom w:val="single" w:sz="10" w:space="10" w:color="2E74B5"/>
        </w:pBdr>
      </w:pPr>
      <w:r>
        <w:t>A concise view of the existing agent path and why the format feels relevant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20" w:type="dxa"/>
              <w:bottom w:w="130" w:type="dxa"/>
              <w:end w:w="120" w:type="dxa"/>
            </w:tcMar>
            <w:vAlign w:val="center"/>
            <w:shd w:fill="EEF5FB" w:val="clear"/>
            <w:tcBorders>
              <w:start w:val="single" w:sz="16" w:color="2E74B5"/>
              <w:top w:val="nil"/>
              <w:bottom w:val="nil"/>
              <w:end w:val="nil"/>
            </w:tcBorders>
          </w:tcPr>
          <w:p>
            <w:pPr>
              <w:keepNext/>
              <w:spacing w:after="60"/>
            </w:pPr>
            <w:r>
              <w:rPr>
                <w:rFonts w:ascii="Calibri" w:hAnsi="Calibri" w:eastAsia="Calibri"/>
                <w:b/>
                <w:i w:val="0"/>
                <w:color w:val="2E74B5"/>
                <w:sz w:val="21"/>
              </w:rPr>
              <w:t>Short answer</w:t>
            </w:r>
          </w:p>
          <w:p>
            <w:pPr>
              <w:spacing w:after="0" w:line="276" w:lineRule="auto"/>
            </w:pPr>
            <w:r>
              <w:rPr>
                <w:rFonts w:ascii="Calibri" w:hAnsi="Calibri" w:eastAsia="Calibri"/>
                <w:b w:val="0"/>
                <w:i w:val="0"/>
                <w:color w:val="0B2545"/>
                <w:sz w:val="20"/>
              </w:rPr>
              <w:t>Yes—the guided format looks relevant to Proxy War. The material in this packet is shared only as context for that reaction. It is not a specification, assignment, or assumption that you want to build it.</w:t>
            </w:r>
          </w:p>
        </w:tc>
      </w:tr>
    </w:tbl>
    <w:p>
      <w:pPr>
        <w:spacing w:after="0"/>
      </w:pPr>
    </w:p>
    <w:tbl>
      <w:tblPr>
        <w:tblW w:type="dxa" w:w="9360"/>
        <w:jc w:val="left"/>
        <w:tblLayout w:type="fixed"/>
        <w:tblLook w:firstColumn="1" w:firstRow="1" w:lastColumn="0" w:lastRow="0" w:noHBand="0" w:noVBand="1" w:val="04A0"/>
        <w:tblInd w:w="120" w:type="dxa"/>
      </w:tblPr>
      <w:tblGrid>
        <w:gridCol w:w="3120"/>
        <w:gridCol w:w="3120"/>
        <w:gridCol w:w="3120"/>
      </w:tblGrid>
      <w:tr>
        <w:trPr>
          <w:cantSplit/>
        </w:trPr>
        <w:tc>
          <w:tcPr>
            <w:tcW w:type="dxa" w:w="3120"/>
            <w:tcMar>
              <w:top w:w="130" w:type="dxa"/>
              <w:start w:w="120" w:type="dxa"/>
              <w:bottom w:w="130" w:type="dxa"/>
              <w:end w:w="120" w:type="dxa"/>
            </w:tcMar>
            <w:vAlign w:val="center"/>
            <w:shd w:fill="EEF5FB" w:val="clear"/>
            <w:tcBorders>
              <w:top w:val="single" w:sz="5" w:color="C9D5E3"/>
              <w:bottom w:val="single" w:sz="5" w:color="C9D5E3"/>
              <w:start w:val="single" w:sz="5" w:color="C9D5E3"/>
              <w:end w:val="single" w:sz="5" w:color="C9D5E3"/>
            </w:tcBorders>
          </w:tcPr>
          <w:p>
            <w:pPr>
              <w:spacing w:after="100"/>
            </w:pPr>
            <w:r>
              <w:rPr>
                <w:rFonts w:ascii="Calibri" w:hAnsi="Calibri" w:eastAsia="Calibri"/>
                <w:b/>
                <w:i w:val="0"/>
                <w:color w:val="1F4D78"/>
                <w:sz w:val="20"/>
              </w:rPr>
              <w:t>WHAT EXISTS</w:t>
            </w:r>
          </w:p>
          <w:p>
            <w:pPr>
              <w:spacing w:after="0" w:line="269" w:lineRule="auto"/>
            </w:pPr>
            <w:r>
              <w:rPr>
                <w:rFonts w:ascii="Calibri" w:hAnsi="Calibri" w:eastAsia="Calibri"/>
                <w:b w:val="0"/>
                <w:i w:val="0"/>
                <w:color w:val="0B2545"/>
                <w:sz w:val="18"/>
              </w:rPr>
              <w:t>A Coworld starter policy, legal-action and replay contracts, canonical validation, and match evidence.</w:t>
            </w:r>
          </w:p>
        </w:tc>
        <w:tc>
          <w:tcPr>
            <w:tcW w:type="dxa" w:w="3120"/>
            <w:tcMar>
              <w:top w:w="130" w:type="dxa"/>
              <w:start w:w="120" w:type="dxa"/>
              <w:bottom w:w="130" w:type="dxa"/>
              <w:end w:w="120" w:type="dxa"/>
            </w:tcMar>
            <w:vAlign w:val="center"/>
            <w:shd w:fill="F4F6F9" w:val="clear"/>
            <w:tcBorders>
              <w:top w:val="single" w:sz="5" w:color="C9D5E3"/>
              <w:bottom w:val="single" w:sz="5" w:color="C9D5E3"/>
              <w:start w:val="single" w:sz="5" w:color="C9D5E3"/>
              <w:end w:val="single" w:sz="5" w:color="C9D5E3"/>
            </w:tcBorders>
          </w:tcPr>
          <w:p>
            <w:pPr>
              <w:spacing w:after="100"/>
            </w:pPr>
            <w:r>
              <w:rPr>
                <w:rFonts w:ascii="Calibri" w:hAnsi="Calibri" w:eastAsia="Calibri"/>
                <w:b/>
                <w:i w:val="0"/>
                <w:color w:val="1F4D78"/>
                <w:sz w:val="20"/>
              </w:rPr>
              <w:t>WHY IT MAPS</w:t>
            </w:r>
          </w:p>
          <w:p>
            <w:pPr>
              <w:spacing w:after="0" w:line="269" w:lineRule="auto"/>
            </w:pPr>
            <w:r>
              <w:rPr>
                <w:rFonts w:ascii="Calibri" w:hAnsi="Calibri" w:eastAsia="Calibri"/>
                <w:b w:val="0"/>
                <w:i w:val="0"/>
                <w:color w:val="0B2545"/>
                <w:sz w:val="18"/>
              </w:rPr>
              <w:t>The CrewRift flow—understand, edit, test, run, replay, improve—matches the natural Proxy War agent-learning loop.</w:t>
            </w:r>
          </w:p>
        </w:tc>
        <w:tc>
          <w:tcPr>
            <w:tcW w:type="dxa" w:w="3120"/>
            <w:tcMar>
              <w:top w:w="130" w:type="dxa"/>
              <w:start w:w="120" w:type="dxa"/>
              <w:bottom w:w="130" w:type="dxa"/>
              <w:end w:w="120" w:type="dxa"/>
            </w:tcMar>
            <w:vAlign w:val="center"/>
            <w:shd w:fill="EEF5FB" w:val="clear"/>
            <w:tcBorders>
              <w:top w:val="single" w:sz="5" w:color="C9D5E3"/>
              <w:bottom w:val="single" w:sz="5" w:color="C9D5E3"/>
              <w:start w:val="single" w:sz="5" w:color="C9D5E3"/>
              <w:end w:val="single" w:sz="5" w:color="C9D5E3"/>
            </w:tcBorders>
          </w:tcPr>
          <w:p>
            <w:pPr>
              <w:spacing w:after="100"/>
            </w:pPr>
            <w:r>
              <w:rPr>
                <w:rFonts w:ascii="Calibri" w:hAnsi="Calibri" w:eastAsia="Calibri"/>
                <w:b/>
                <w:i w:val="0"/>
                <w:color w:val="1F4D78"/>
                <w:sz w:val="20"/>
              </w:rPr>
              <w:t>WHAT IS OPEN</w:t>
            </w:r>
          </w:p>
          <w:p>
            <w:pPr>
              <w:spacing w:after="0" w:line="269" w:lineRule="auto"/>
            </w:pPr>
            <w:r>
              <w:rPr>
                <w:rFonts w:ascii="Calibri" w:hAnsi="Calibri" w:eastAsia="Calibri"/>
                <w:b w:val="0"/>
                <w:i w:val="0"/>
                <w:color w:val="0B2545"/>
                <w:sz w:val="18"/>
              </w:rPr>
              <w:t>Whether this is interesting, what form it might take, and whether any follow-up is useful are deliberately left open.</w:t>
            </w:r>
          </w:p>
        </w:tc>
      </w:tr>
    </w:tbl>
    <w:p>
      <w:pPr>
        <w:spacing w:after="0"/>
      </w:pPr>
    </w:p>
    <w:p>
      <w:pPr>
        <w:keepLines/>
      </w:pPr>
      <w:r>
        <w:rPr>
          <w:rFonts w:ascii="Calibri" w:hAnsi="Calibri" w:eastAsia="Calibri"/>
          <w:b w:val="0"/>
          <w:i w:val="0"/>
          <w:color w:val="0B2545"/>
          <w:sz w:val="21"/>
        </w:rPr>
        <w:t>This packet contains a short overview plus a few deliberately selected public examples. Operational commands, live league identifiers, internal project notes, and time-sensitive hosted claims are intentionally excluded.</w:t>
      </w:r>
    </w:p>
    <w:p>
      <w:pPr>
        <w:spacing w:after="0"/>
      </w:pPr>
      <w:r>
        <w:br w:type="page"/>
      </w:r>
    </w:p>
    <w:p>
      <w:pPr>
        <w:pStyle w:val="PWLabel"/>
      </w:pPr>
      <w:r>
        <w:rPr>
          <w:rFonts w:ascii="Calibri" w:hAnsi="Calibri" w:eastAsia="Calibri"/>
          <w:b/>
          <w:i w:val="0"/>
          <w:color w:val="2F6B55"/>
          <w:sz w:val="16"/>
        </w:rPr>
        <w:t>REPOSITORY-VERIFIED  /  STABLE PRODUCT CONTEXT</w:t>
      </w:r>
    </w:p>
    <w:p>
      <w:pPr>
        <w:pStyle w:val="Heading1"/>
      </w:pPr>
      <w:r>
        <w:t>1. Proxy War in 60 seconds</w:t>
      </w:r>
    </w:p>
    <w:p>
      <w:pPr>
        <w:keepLines/>
      </w:pPr>
      <w:r>
        <w:rPr>
          <w:rFonts w:ascii="Calibri" w:hAnsi="Calibri" w:eastAsia="Calibri"/>
          <w:b w:val="0"/>
          <w:i w:val="0"/>
          <w:color w:val="0B2545"/>
          <w:sz w:val="21"/>
        </w:rPr>
        <w:t>Proxy War is an autonomous strategy game in which software agents claim territory, build an economy, form alliances, attack rivals, and play complete matches without human input. At each decision, the game gives a policy the current observation and a list of actions that are legal at that moment.</w:t>
      </w:r>
    </w:p>
    <w:p>
      <w:pPr>
        <w:spacing w:before="80" w:after="100"/>
        <w:jc w:val="center"/>
      </w:pPr>
      <w:r>
        <w:drawing>
          <wp:inline xmlns:a="http://schemas.openxmlformats.org/drawingml/2006/main" xmlns:pic="http://schemas.openxmlformats.org/drawingml/2006/picture">
            <wp:extent cx="5806440" cy="1258062"/>
            <wp:docPr id="1" name="Picture 1" title="Proxy War decision flow" descr="Five-step flow: the game sends an observation and legal actions; the policy selects one offered action ID; the canonical validator and runner check and execute it; the GameServer runs the match; results and a replay are produced for inspection."/>
            <wp:cNvGraphicFramePr>
              <a:graphicFrameLocks noChangeAspect="1"/>
            </wp:cNvGraphicFramePr>
            <a:graphic>
              <a:graphicData uri="http://schemas.openxmlformats.org/drawingml/2006/picture">
                <pic:pic>
                  <pic:nvPicPr>
                    <pic:cNvPr id="0" name="proxywar_decision_flow.png"/>
                    <pic:cNvPicPr/>
                  </pic:nvPicPr>
                  <pic:blipFill>
                    <a:blip r:embed="rId13"/>
                    <a:stretch>
                      <a:fillRect/>
                    </a:stretch>
                  </pic:blipFill>
                  <pic:spPr>
                    <a:xfrm>
                      <a:off x="0" y="0"/>
                      <a:ext cx="5806440" cy="1258062"/>
                    </a:xfrm>
                    <a:prstGeom prst="rect"/>
                  </pic:spPr>
                </pic:pic>
              </a:graphicData>
            </a:graphic>
          </wp:inline>
        </w:drawing>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20" w:type="dxa"/>
              <w:bottom w:w="130" w:type="dxa"/>
              <w:end w:w="120" w:type="dxa"/>
            </w:tcMar>
            <w:vAlign w:val="center"/>
            <w:shd w:fill="EEF5FB" w:val="clear"/>
            <w:tcBorders>
              <w:start w:val="single" w:sz="16" w:color="2E74B5"/>
              <w:top w:val="nil"/>
              <w:bottom w:val="nil"/>
              <w:end w:val="nil"/>
            </w:tcBorders>
          </w:tcPr>
          <w:p>
            <w:pPr>
              <w:keepNext/>
              <w:spacing w:after="60"/>
            </w:pPr>
            <w:r>
              <w:rPr>
                <w:rFonts w:ascii="Calibri" w:hAnsi="Calibri" w:eastAsia="Calibri"/>
                <w:b/>
                <w:i w:val="0"/>
                <w:color w:val="2E74B5"/>
                <w:sz w:val="21"/>
              </w:rPr>
              <w:t>The durable contract</w:t>
            </w:r>
          </w:p>
          <w:p>
            <w:pPr>
              <w:spacing w:after="0" w:line="276" w:lineRule="auto"/>
            </w:pPr>
            <w:r>
              <w:rPr>
                <w:rFonts w:ascii="Calibri" w:hAnsi="Calibri" w:eastAsia="Calibri"/>
                <w:b w:val="0"/>
                <w:i w:val="0"/>
                <w:color w:val="0B2545"/>
                <w:sz w:val="20"/>
              </w:rPr>
              <w:t>A policy returns one exact LegalAction.id from the list it was offered. It does not construct a raw game-engine intent. The existing validator, runner, and GameServer remain authoritative.</w:t>
            </w:r>
          </w:p>
        </w:tc>
      </w:tr>
    </w:tbl>
    <w:p>
      <w:pPr>
        <w:spacing w:after="0"/>
      </w:pPr>
    </w:p>
    <w:p>
      <w:pPr>
        <w:pStyle w:val="Heading1"/>
      </w:pPr>
      <w:r>
        <w:t>2. What already exists</w:t>
      </w:r>
    </w:p>
    <w:tbl>
      <w:tblPr>
        <w:tblStyle w:val="TableGrid"/>
        <w:tblW w:type="dxa" w:w="9360"/>
        <w:tblLayout w:type="fixed"/>
        <w:tblLook w:firstColumn="1" w:firstRow="1" w:lastColumn="0" w:lastRow="0" w:noHBand="0" w:noVBand="1" w:val="04A0"/>
        <w:jc w:val="left"/>
        <w:tblInd w:w="120" w:type="dxa"/>
      </w:tblPr>
      <w:tblGrid>
        <w:gridCol w:w="2300"/>
        <w:gridCol w:w="3830"/>
        <w:gridCol w:w="3230"/>
      </w:tblGrid>
      <w:tr>
        <w:trPr>
          <w:cantSplit/>
          <w:tblHeader w:val="true"/>
          <w:tblHeader w:val="true"/>
        </w:trPr>
        <w:tc>
          <w:tcPr>
            <w:tcW w:type="dxa" w:w="2300"/>
            <w:tcMar>
              <w:top w:w="80" w:type="dxa"/>
              <w:start w:w="120" w:type="dxa"/>
              <w:bottom w:w="80" w:type="dxa"/>
              <w:end w:w="120" w:type="dxa"/>
            </w:tcMar>
            <w:vAlign w:val="center"/>
            <w:shd w:fill="E8EEF5" w:val="clear"/>
          </w:tcPr>
          <w:p>
            <w:pPr>
              <w:spacing w:after="0" w:line="269" w:lineRule="auto"/>
            </w:pPr>
            <w:r/>
            <w:r>
              <w:rPr>
                <w:rFonts w:ascii="Calibri" w:hAnsi="Calibri"/>
                <w:b/>
                <w:color w:val="0B2545"/>
                <w:sz w:val="18"/>
              </w:rPr>
              <w:t>Material</w:t>
            </w:r>
          </w:p>
        </w:tc>
        <w:tc>
          <w:tcPr>
            <w:tcW w:type="dxa" w:w="3830"/>
            <w:tcMar>
              <w:top w:w="80" w:type="dxa"/>
              <w:start w:w="120" w:type="dxa"/>
              <w:bottom w:w="80" w:type="dxa"/>
              <w:end w:w="120" w:type="dxa"/>
            </w:tcMar>
            <w:vAlign w:val="center"/>
            <w:shd w:fill="E8EEF5" w:val="clear"/>
          </w:tcPr>
          <w:p>
            <w:pPr>
              <w:spacing w:after="0" w:line="269" w:lineRule="auto"/>
            </w:pPr>
            <w:r/>
            <w:r>
              <w:rPr>
                <w:rFonts w:ascii="Calibri" w:hAnsi="Calibri"/>
                <w:b/>
                <w:color w:val="0B2545"/>
                <w:sz w:val="18"/>
              </w:rPr>
              <w:t>What it contributes</w:t>
            </w:r>
          </w:p>
        </w:tc>
        <w:tc>
          <w:tcPr>
            <w:tcW w:type="dxa" w:w="3230"/>
            <w:tcMar>
              <w:top w:w="80" w:type="dxa"/>
              <w:start w:w="120" w:type="dxa"/>
              <w:bottom w:w="80" w:type="dxa"/>
              <w:end w:w="120" w:type="dxa"/>
            </w:tcMar>
            <w:vAlign w:val="center"/>
            <w:shd w:fill="E8EEF5" w:val="clear"/>
          </w:tcPr>
          <w:p>
            <w:pPr>
              <w:spacing w:after="0" w:line="269" w:lineRule="auto"/>
            </w:pPr>
            <w:r/>
            <w:r>
              <w:rPr>
                <w:rFonts w:ascii="Calibri" w:hAnsi="Calibri"/>
                <w:b/>
                <w:color w:val="0B2545"/>
                <w:sz w:val="18"/>
              </w:rPr>
              <w:t>Status in this packet</w:t>
            </w:r>
          </w:p>
        </w:tc>
      </w:tr>
      <w:tr>
        <w:trPr>
          <w:cantSplit/>
        </w:trPr>
        <w:tc>
          <w:tcPr>
            <w:tcW w:type="dxa" w:w="2300"/>
            <w:tcMar>
              <w:top w:w="80" w:type="dxa"/>
              <w:start w:w="120" w:type="dxa"/>
              <w:bottom w:w="80" w:type="dxa"/>
              <w:end w:w="120" w:type="dxa"/>
            </w:tcMar>
            <w:vAlign w:val="center"/>
          </w:tcPr>
          <w:p>
            <w:pPr>
              <w:spacing w:after="0" w:line="269" w:lineRule="auto"/>
            </w:pPr>
            <w:r/>
            <w:r>
              <w:rPr>
                <w:rFonts w:ascii="Calibri" w:hAnsi="Calibri"/>
                <w:b w:val="0"/>
                <w:color w:val="0B2545"/>
                <w:sz w:val="18"/>
              </w:rPr>
              <w:t>Coworld starter policy</w:t>
            </w:r>
          </w:p>
        </w:tc>
        <w:tc>
          <w:tcPr>
            <w:tcW w:type="dxa" w:w="3830"/>
            <w:tcMar>
              <w:top w:w="80" w:type="dxa"/>
              <w:start w:w="120" w:type="dxa"/>
              <w:bottom w:w="80" w:type="dxa"/>
              <w:end w:w="120" w:type="dxa"/>
            </w:tcMar>
            <w:vAlign w:val="center"/>
          </w:tcPr>
          <w:p>
            <w:pPr>
              <w:spacing w:after="0" w:line="269" w:lineRule="auto"/>
            </w:pPr>
            <w:r/>
            <w:r>
              <w:rPr>
                <w:rFonts w:ascii="Calibri" w:hAnsi="Calibri"/>
                <w:b w:val="0"/>
                <w:color w:val="0B2545"/>
                <w:sz w:val="18"/>
              </w:rPr>
              <w:t>A small rule-based agent with one clearly marked strategy function.</w:t>
            </w:r>
          </w:p>
        </w:tc>
        <w:tc>
          <w:tcPr>
            <w:tcW w:type="dxa" w:w="3230"/>
            <w:tcMar>
              <w:top w:w="80" w:type="dxa"/>
              <w:start w:w="120" w:type="dxa"/>
              <w:bottom w:w="80" w:type="dxa"/>
              <w:end w:w="120" w:type="dxa"/>
            </w:tcMar>
            <w:vAlign w:val="center"/>
          </w:tcPr>
          <w:p>
            <w:pPr>
              <w:spacing w:after="0" w:line="269" w:lineRule="auto"/>
            </w:pPr>
            <w:r/>
            <w:r>
              <w:rPr>
                <w:rFonts w:ascii="Calibri" w:hAnsi="Calibri"/>
                <w:b w:val="0"/>
                <w:color w:val="0B2545"/>
                <w:sz w:val="18"/>
              </w:rPr>
              <w:t>Included as the simplest working reference.</w:t>
            </w:r>
          </w:p>
        </w:tc>
      </w:tr>
      <w:tr>
        <w:trPr>
          <w:cantSplit/>
        </w:trPr>
        <w:tc>
          <w:tcPr>
            <w:tcW w:type="dxa" w:w="2300"/>
            <w:tcMar>
              <w:top w:w="80" w:type="dxa"/>
              <w:start w:w="120" w:type="dxa"/>
              <w:bottom w:w="80" w:type="dxa"/>
              <w:end w:w="120" w:type="dxa"/>
            </w:tcMar>
            <w:vAlign w:val="center"/>
          </w:tcPr>
          <w:p>
            <w:pPr>
              <w:spacing w:after="0" w:line="269" w:lineRule="auto"/>
            </w:pPr>
            <w:r/>
            <w:r>
              <w:rPr>
                <w:rFonts w:ascii="Calibri" w:hAnsi="Calibri"/>
                <w:b w:val="0"/>
                <w:color w:val="0B2545"/>
                <w:sz w:val="18"/>
              </w:rPr>
              <w:t>Player protocol</w:t>
            </w:r>
          </w:p>
        </w:tc>
        <w:tc>
          <w:tcPr>
            <w:tcW w:type="dxa" w:w="3830"/>
            <w:tcMar>
              <w:top w:w="80" w:type="dxa"/>
              <w:start w:w="120" w:type="dxa"/>
              <w:bottom w:w="80" w:type="dxa"/>
              <w:end w:w="120" w:type="dxa"/>
            </w:tcMar>
            <w:vAlign w:val="center"/>
          </w:tcPr>
          <w:p>
            <w:pPr>
              <w:spacing w:after="0" w:line="269" w:lineRule="auto"/>
            </w:pPr>
            <w:r/>
            <w:r>
              <w:rPr>
                <w:rFonts w:ascii="Calibri" w:hAnsi="Calibri"/>
                <w:b w:val="0"/>
                <w:color w:val="0B2545"/>
                <w:sz w:val="18"/>
              </w:rPr>
              <w:t>The minimal decision_request → decision_response contract.</w:t>
            </w:r>
          </w:p>
        </w:tc>
        <w:tc>
          <w:tcPr>
            <w:tcW w:type="dxa" w:w="3230"/>
            <w:tcMar>
              <w:top w:w="80" w:type="dxa"/>
              <w:start w:w="120" w:type="dxa"/>
              <w:bottom w:w="80" w:type="dxa"/>
              <w:end w:w="120" w:type="dxa"/>
            </w:tcMar>
            <w:vAlign w:val="center"/>
          </w:tcPr>
          <w:p>
            <w:pPr>
              <w:spacing w:after="0" w:line="269" w:lineRule="auto"/>
            </w:pPr>
            <w:r/>
            <w:r>
              <w:rPr>
                <w:rFonts w:ascii="Calibri" w:hAnsi="Calibri"/>
                <w:b w:val="0"/>
                <w:color w:val="0B2545"/>
                <w:sz w:val="18"/>
              </w:rPr>
              <w:t>Included as a reviewed reference copy.</w:t>
            </w:r>
          </w:p>
        </w:tc>
      </w:tr>
      <w:tr>
        <w:trPr>
          <w:cantSplit/>
        </w:trPr>
        <w:tc>
          <w:tcPr>
            <w:tcW w:type="dxa" w:w="2300"/>
            <w:tcMar>
              <w:top w:w="80" w:type="dxa"/>
              <w:start w:w="120" w:type="dxa"/>
              <w:bottom w:w="80" w:type="dxa"/>
              <w:end w:w="120" w:type="dxa"/>
            </w:tcMar>
            <w:vAlign w:val="center"/>
          </w:tcPr>
          <w:p>
            <w:pPr>
              <w:spacing w:after="0" w:line="269" w:lineRule="auto"/>
            </w:pPr>
            <w:r/>
            <w:r>
              <w:rPr>
                <w:rFonts w:ascii="Calibri" w:hAnsi="Calibri"/>
                <w:b w:val="0"/>
                <w:color w:val="0B2545"/>
                <w:sz w:val="18"/>
              </w:rPr>
              <w:t>Global and replay protocol</w:t>
            </w:r>
          </w:p>
        </w:tc>
        <w:tc>
          <w:tcPr>
            <w:tcW w:type="dxa" w:w="3830"/>
            <w:tcMar>
              <w:top w:w="80" w:type="dxa"/>
              <w:start w:w="120" w:type="dxa"/>
              <w:bottom w:w="80" w:type="dxa"/>
              <w:end w:w="120" w:type="dxa"/>
            </w:tcMar>
            <w:vAlign w:val="center"/>
          </w:tcPr>
          <w:p>
            <w:pPr>
              <w:spacing w:after="0" w:line="269" w:lineRule="auto"/>
            </w:pPr>
            <w:r/>
            <w:r>
              <w:rPr>
                <w:rFonts w:ascii="Calibri" w:hAnsi="Calibri"/>
                <w:b w:val="0"/>
                <w:color w:val="0B2545"/>
                <w:sz w:val="18"/>
              </w:rPr>
              <w:t>The status, spectator, result, and saved-replay surfaces.</w:t>
            </w:r>
          </w:p>
        </w:tc>
        <w:tc>
          <w:tcPr>
            <w:tcW w:type="dxa" w:w="3230"/>
            <w:tcMar>
              <w:top w:w="80" w:type="dxa"/>
              <w:start w:w="120" w:type="dxa"/>
              <w:bottom w:w="80" w:type="dxa"/>
              <w:end w:w="120" w:type="dxa"/>
            </w:tcMar>
            <w:vAlign w:val="center"/>
          </w:tcPr>
          <w:p>
            <w:pPr>
              <w:spacing w:after="0" w:line="269" w:lineRule="auto"/>
            </w:pPr>
            <w:r/>
            <w:r>
              <w:rPr>
                <w:rFonts w:ascii="Calibri" w:hAnsi="Calibri"/>
                <w:b w:val="0"/>
                <w:color w:val="0B2545"/>
                <w:sz w:val="18"/>
              </w:rPr>
              <w:t>Included without time-sensitive league details.</w:t>
            </w:r>
          </w:p>
        </w:tc>
      </w:tr>
      <w:tr>
        <w:trPr>
          <w:cantSplit/>
        </w:trPr>
        <w:tc>
          <w:tcPr>
            <w:tcW w:type="dxa" w:w="2300"/>
            <w:tcMar>
              <w:top w:w="80" w:type="dxa"/>
              <w:start w:w="120" w:type="dxa"/>
              <w:bottom w:w="80" w:type="dxa"/>
              <w:end w:w="120" w:type="dxa"/>
            </w:tcMar>
            <w:vAlign w:val="center"/>
          </w:tcPr>
          <w:p>
            <w:pPr>
              <w:spacing w:after="0" w:line="269" w:lineRule="auto"/>
            </w:pPr>
            <w:r/>
            <w:r>
              <w:rPr>
                <w:rFonts w:ascii="Calibri" w:hAnsi="Calibri"/>
                <w:b w:val="0"/>
                <w:color w:val="0B2545"/>
                <w:sz w:val="18"/>
              </w:rPr>
              <w:t>Canonical match path</w:t>
            </w:r>
          </w:p>
        </w:tc>
        <w:tc>
          <w:tcPr>
            <w:tcW w:type="dxa" w:w="3830"/>
            <w:tcMar>
              <w:top w:w="80" w:type="dxa"/>
              <w:start w:w="120" w:type="dxa"/>
              <w:bottom w:w="80" w:type="dxa"/>
              <w:end w:w="120" w:type="dxa"/>
            </w:tcMar>
            <w:vAlign w:val="center"/>
          </w:tcPr>
          <w:p>
            <w:pPr>
              <w:spacing w:after="0" w:line="269" w:lineRule="auto"/>
            </w:pPr>
            <w:r/>
            <w:r>
              <w:rPr>
                <w:rFonts w:ascii="Calibri" w:hAnsi="Calibri"/>
                <w:b w:val="0"/>
                <w:color w:val="0B2545"/>
                <w:sz w:val="18"/>
              </w:rPr>
              <w:t>Validation, episode execution, results, and replay artifacts.</w:t>
            </w:r>
          </w:p>
        </w:tc>
        <w:tc>
          <w:tcPr>
            <w:tcW w:type="dxa" w:w="3230"/>
            <w:tcMar>
              <w:top w:w="80" w:type="dxa"/>
              <w:start w:w="120" w:type="dxa"/>
              <w:bottom w:w="80" w:type="dxa"/>
              <w:end w:w="120" w:type="dxa"/>
            </w:tcMar>
            <w:vAlign w:val="center"/>
          </w:tcPr>
          <w:p>
            <w:pPr>
              <w:spacing w:after="0" w:line="269" w:lineRule="auto"/>
            </w:pPr>
            <w:r/>
            <w:r>
              <w:rPr>
                <w:rFonts w:ascii="Calibri" w:hAnsi="Calibri"/>
                <w:b w:val="0"/>
                <w:color w:val="0B2545"/>
                <w:sz w:val="18"/>
              </w:rPr>
              <w:t>Explained here; live hosted details intentionally omitted.</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20" w:type="dxa"/>
              <w:bottom w:w="130" w:type="dxa"/>
              <w:end w:w="120" w:type="dxa"/>
            </w:tcMar>
            <w:vAlign w:val="center"/>
            <w:shd w:fill="F4F6F9" w:val="clear"/>
            <w:tcBorders>
              <w:start w:val="single" w:sz="16" w:color="2E74B5"/>
              <w:top w:val="nil"/>
              <w:bottom w:val="nil"/>
              <w:end w:val="nil"/>
            </w:tcBorders>
          </w:tcPr>
          <w:p>
            <w:pPr>
              <w:keepNext/>
              <w:spacing w:after="60"/>
            </w:pPr>
            <w:r>
              <w:rPr>
                <w:rFonts w:ascii="Calibri" w:hAnsi="Calibri" w:eastAsia="Calibri"/>
                <w:b/>
                <w:i w:val="0"/>
                <w:color w:val="2E74B5"/>
                <w:sz w:val="21"/>
              </w:rPr>
              <w:t>One architecture, not a notebook-only SDK</w:t>
            </w:r>
          </w:p>
          <w:p>
            <w:pPr>
              <w:spacing w:after="0" w:line="276" w:lineRule="auto"/>
            </w:pPr>
            <w:r>
              <w:rPr>
                <w:rFonts w:ascii="Calibri" w:hAnsi="Calibri" w:eastAsia="Calibri"/>
                <w:b w:val="0"/>
                <w:i w:val="0"/>
                <w:color w:val="0B2545"/>
                <w:sz w:val="20"/>
              </w:rPr>
              <w:t>Any notebook-shaped experience would be most useful if it exposed the existing policy and match path. It should not introduce a second protocol, validator, runner, or raw-intent route.</w:t>
            </w:r>
          </w:p>
        </w:tc>
      </w:tr>
    </w:tbl>
    <w:p>
      <w:pPr>
        <w:spacing w:after="0"/>
      </w:pPr>
    </w:p>
    <w:p>
      <w:pPr>
        <w:spacing w:after="0"/>
      </w:pPr>
      <w:r>
        <w:br w:type="page"/>
      </w:r>
    </w:p>
    <w:p>
      <w:pPr>
        <w:pStyle w:val="PWLabel"/>
      </w:pPr>
      <w:r>
        <w:rPr>
          <w:rFonts w:ascii="Calibri" w:hAnsi="Calibri" w:eastAsia="Calibri"/>
          <w:b/>
          <w:i w:val="0"/>
          <w:color w:val="2E74B5"/>
          <w:sz w:val="16"/>
        </w:rPr>
        <w:t>PROPOSED  /  EXPLORATORY MAPPING</w:t>
      </w:r>
    </w:p>
    <w:p>
      <w:pPr>
        <w:pStyle w:val="Heading1"/>
      </w:pPr>
      <w:r>
        <w:t>3. How the format might translate</w:t>
      </w:r>
    </w:p>
    <w:p>
      <w:pPr>
        <w:keepLines/>
      </w:pPr>
      <w:r>
        <w:rPr>
          <w:rFonts w:ascii="Calibri" w:hAnsi="Calibri" w:eastAsia="Calibri"/>
          <w:b w:val="0"/>
          <w:i w:val="0"/>
          <w:color w:val="0B2545"/>
          <w:sz w:val="21"/>
        </w:rPr>
        <w:t>The strongest overlap is the learning sequence, not any specific CrewRift implementation detail. A Proxy War version could, in principle:</w:t>
      </w:r>
    </w:p>
    <w:p>
      <w:pPr>
        <w:pStyle w:val="ListBullet"/>
      </w:pPr>
      <w:r>
        <w:rPr>
          <w:rFonts w:ascii="Calibri" w:hAnsi="Calibri" w:eastAsia="Calibri"/>
          <w:b w:val="0"/>
          <w:i w:val="0"/>
          <w:color w:val="0B2545"/>
          <w:sz w:val="20"/>
        </w:rPr>
        <w:t xml:space="preserve"> Show a replay or match outcome first, so the learner understands the destination.</w:t>
      </w:r>
    </w:p>
    <w:p>
      <w:pPr>
        <w:pStyle w:val="ListBullet"/>
      </w:pPr>
      <w:r>
        <w:rPr>
          <w:rFonts w:ascii="Calibri" w:hAnsi="Calibri" w:eastAsia="Calibri"/>
          <w:b w:val="0"/>
          <w:i w:val="0"/>
          <w:color w:val="0B2545"/>
          <w:sz w:val="20"/>
        </w:rPr>
        <w:t xml:space="preserve"> Open one frozen decision request and explain the observation plus offered legal actions.</w:t>
      </w:r>
    </w:p>
    <w:p>
      <w:pPr>
        <w:pStyle w:val="ListBullet"/>
      </w:pPr>
      <w:r>
        <w:rPr>
          <w:rFonts w:ascii="Calibri" w:hAnsi="Calibri" w:eastAsia="Calibri"/>
          <w:b w:val="0"/>
          <w:i w:val="0"/>
          <w:color w:val="0B2545"/>
          <w:sz w:val="20"/>
        </w:rPr>
        <w:t xml:space="preserve"> Run a working baseline policy, then change one small piece of strategy or selection logic.</w:t>
      </w:r>
    </w:p>
    <w:p>
      <w:pPr>
        <w:pStyle w:val="ListBullet"/>
      </w:pPr>
      <w:r>
        <w:rPr>
          <w:rFonts w:ascii="Calibri" w:hAnsi="Calibri" w:eastAsia="Calibri"/>
          <w:b w:val="0"/>
          <w:i w:val="0"/>
          <w:color w:val="0B2545"/>
          <w:sz w:val="20"/>
        </w:rPr>
        <w:t xml:space="preserve"> Verify that the policy selected one offered LegalAction.id through the canonical path.</w:t>
      </w:r>
    </w:p>
    <w:p>
      <w:pPr>
        <w:pStyle w:val="ListBullet"/>
      </w:pPr>
      <w:r>
        <w:rPr>
          <w:rFonts w:ascii="Calibri" w:hAnsi="Calibri" w:eastAsia="Calibri"/>
          <w:b w:val="0"/>
          <w:i w:val="0"/>
          <w:color w:val="0B2545"/>
          <w:sz w:val="20"/>
        </w:rPr>
        <w:t xml:space="preserve"> Inspect replay/result evidence and compare one controlled change with the baseline.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30" w:type="dxa"/>
              <w:start w:w="120" w:type="dxa"/>
              <w:bottom w:w="130" w:type="dxa"/>
              <w:end w:w="120" w:type="dxa"/>
            </w:tcMar>
            <w:vAlign w:val="center"/>
            <w:shd w:fill="EEF5FB" w:val="clear"/>
            <w:tcBorders>
              <w:start w:val="single" w:sz="16" w:color="2E74B5"/>
              <w:top w:val="nil"/>
              <w:bottom w:val="nil"/>
              <w:end w:val="nil"/>
            </w:tcBorders>
          </w:tcPr>
          <w:p>
            <w:pPr>
              <w:keepNext/>
              <w:spacing w:after="60"/>
            </w:pPr>
            <w:r>
              <w:rPr>
                <w:rFonts w:ascii="Calibri" w:hAnsi="Calibri" w:eastAsia="Calibri"/>
                <w:b/>
                <w:i w:val="0"/>
                <w:color w:val="2E74B5"/>
                <w:sz w:val="21"/>
              </w:rPr>
              <w:t>No implied ask</w:t>
            </w:r>
          </w:p>
          <w:p>
            <w:pPr>
              <w:spacing w:after="0" w:line="276" w:lineRule="auto"/>
            </w:pPr>
            <w:r>
              <w:rPr>
                <w:rFonts w:ascii="Calibri" w:hAnsi="Calibri" w:eastAsia="Calibri"/>
                <w:b w:val="0"/>
                <w:i w:val="0"/>
                <w:color w:val="0B2545"/>
                <w:sz w:val="20"/>
              </w:rPr>
              <w:t>This is simply the part of the CrewRift notebook that appears transferable. It is not a proposed scope, commitment, or request for you to take ownership of it.</w:t>
            </w:r>
          </w:p>
        </w:tc>
      </w:tr>
    </w:tbl>
    <w:p>
      <w:pPr>
        <w:spacing w:after="0"/>
      </w:pPr>
    </w:p>
    <w:p>
      <w:pPr>
        <w:pStyle w:val="Heading1"/>
      </w:pPr>
      <w:r>
        <w:t>4. What is included</w:t>
      </w:r>
    </w:p>
    <w:tbl>
      <w:tblPr>
        <w:tblStyle w:val="TableGrid"/>
        <w:tblW w:type="dxa" w:w="9360"/>
        <w:tblLayout w:type="fixed"/>
        <w:tblLook w:firstColumn="1" w:firstRow="1" w:lastColumn="0" w:lastRow="0" w:noHBand="0" w:noVBand="1" w:val="04A0"/>
        <w:jc w:val="left"/>
        <w:tblInd w:w="120" w:type="dxa"/>
      </w:tblPr>
      <w:tblGrid>
        <w:gridCol w:w="3220"/>
        <w:gridCol w:w="6140"/>
      </w:tblGrid>
      <w:tr>
        <w:trPr>
          <w:cantSplit/>
          <w:tblHeader w:val="true"/>
          <w:tblHeader w:val="true"/>
        </w:trPr>
        <w:tc>
          <w:tcPr>
            <w:tcW w:type="dxa" w:w="3220"/>
            <w:tcMar>
              <w:top w:w="80" w:type="dxa"/>
              <w:start w:w="120" w:type="dxa"/>
              <w:bottom w:w="80" w:type="dxa"/>
              <w:end w:w="120" w:type="dxa"/>
            </w:tcMar>
            <w:vAlign w:val="center"/>
            <w:shd w:fill="E8EEF5" w:val="clear"/>
          </w:tcPr>
          <w:p>
            <w:pPr>
              <w:spacing w:after="0" w:line="269" w:lineRule="auto"/>
            </w:pPr>
            <w:r/>
            <w:r>
              <w:rPr>
                <w:rFonts w:ascii="Calibri" w:hAnsi="Calibri"/>
                <w:b/>
                <w:color w:val="0B2545"/>
                <w:sz w:val="18"/>
              </w:rPr>
              <w:t>File</w:t>
            </w:r>
          </w:p>
        </w:tc>
        <w:tc>
          <w:tcPr>
            <w:tcW w:type="dxa" w:w="6140"/>
            <w:tcMar>
              <w:top w:w="80" w:type="dxa"/>
              <w:start w:w="120" w:type="dxa"/>
              <w:bottom w:w="80" w:type="dxa"/>
              <w:end w:w="120" w:type="dxa"/>
            </w:tcMar>
            <w:vAlign w:val="center"/>
            <w:shd w:fill="E8EEF5" w:val="clear"/>
          </w:tcPr>
          <w:p>
            <w:pPr>
              <w:spacing w:after="0" w:line="269" w:lineRule="auto"/>
            </w:pPr>
            <w:r/>
            <w:r>
              <w:rPr>
                <w:rFonts w:ascii="Calibri" w:hAnsi="Calibri"/>
                <w:b/>
                <w:color w:val="0B2545"/>
                <w:sz w:val="18"/>
              </w:rPr>
              <w:t>Purpose</w:t>
            </w:r>
          </w:p>
        </w:tc>
      </w:tr>
      <w:tr>
        <w:trPr>
          <w:cantSplit/>
        </w:trPr>
        <w:tc>
          <w:tcPr>
            <w:tcW w:type="dxa" w:w="3220"/>
            <w:tcMar>
              <w:top w:w="80" w:type="dxa"/>
              <w:start w:w="120" w:type="dxa"/>
              <w:bottom w:w="80" w:type="dxa"/>
              <w:end w:w="120" w:type="dxa"/>
            </w:tcMar>
            <w:vAlign w:val="center"/>
          </w:tcPr>
          <w:p>
            <w:pPr>
              <w:spacing w:after="0" w:line="269" w:lineRule="auto"/>
            </w:pPr>
            <w:r/>
            <w:r>
              <w:rPr>
                <w:rFonts w:ascii="Calibri" w:hAnsi="Calibri"/>
                <w:b w:val="0"/>
                <w:color w:val="0B2545"/>
                <w:sz w:val="18"/>
              </w:rPr>
              <w:t>README_FIRST.md</w:t>
            </w:r>
          </w:p>
        </w:tc>
        <w:tc>
          <w:tcPr>
            <w:tcW w:type="dxa" w:w="6140"/>
            <w:tcMar>
              <w:top w:w="80" w:type="dxa"/>
              <w:start w:w="120" w:type="dxa"/>
              <w:bottom w:w="80" w:type="dxa"/>
              <w:end w:w="120" w:type="dxa"/>
            </w:tcMar>
            <w:vAlign w:val="center"/>
          </w:tcPr>
          <w:p>
            <w:pPr>
              <w:spacing w:after="0" w:line="269" w:lineRule="auto"/>
            </w:pPr>
            <w:r/>
            <w:r>
              <w:rPr>
                <w:rFonts w:ascii="Calibri" w:hAnsi="Calibri"/>
                <w:b w:val="0"/>
                <w:color w:val="0B2545"/>
                <w:sz w:val="18"/>
              </w:rPr>
              <w:t>Packet orientation and current-use caveats.</w:t>
            </w:r>
          </w:p>
        </w:tc>
      </w:tr>
      <w:tr>
        <w:trPr>
          <w:cantSplit/>
        </w:trPr>
        <w:tc>
          <w:tcPr>
            <w:tcW w:type="dxa" w:w="3220"/>
            <w:tcMar>
              <w:top w:w="80" w:type="dxa"/>
              <w:start w:w="120" w:type="dxa"/>
              <w:bottom w:w="80" w:type="dxa"/>
              <w:end w:w="120" w:type="dxa"/>
            </w:tcMar>
            <w:vAlign w:val="center"/>
          </w:tcPr>
          <w:p>
            <w:pPr>
              <w:spacing w:after="0" w:line="269" w:lineRule="auto"/>
            </w:pPr>
            <w:r/>
            <w:r>
              <w:rPr>
                <w:rFonts w:ascii="Calibri" w:hAnsi="Calibri"/>
                <w:b w:val="0"/>
                <w:color w:val="0B2545"/>
                <w:sz w:val="18"/>
              </w:rPr>
              <w:t>SEND_WITH_THIS.txt</w:t>
            </w:r>
          </w:p>
        </w:tc>
        <w:tc>
          <w:tcPr>
            <w:tcW w:type="dxa" w:w="6140"/>
            <w:tcMar>
              <w:top w:w="80" w:type="dxa"/>
              <w:start w:w="120" w:type="dxa"/>
              <w:bottom w:w="80" w:type="dxa"/>
              <w:end w:w="120" w:type="dxa"/>
            </w:tcMar>
            <w:vAlign w:val="center"/>
          </w:tcPr>
          <w:p>
            <w:pPr>
              <w:spacing w:after="0" w:line="269" w:lineRule="auto"/>
            </w:pPr>
            <w:r/>
            <w:r>
              <w:rPr>
                <w:rFonts w:ascii="Calibri" w:hAnsi="Calibri"/>
                <w:b w:val="0"/>
                <w:color w:val="0B2545"/>
                <w:sz w:val="18"/>
              </w:rPr>
              <w:t>A short, neutral message to accompany the packet.</w:t>
            </w:r>
          </w:p>
        </w:tc>
      </w:tr>
      <w:tr>
        <w:trPr>
          <w:cantSplit/>
        </w:trPr>
        <w:tc>
          <w:tcPr>
            <w:tcW w:type="dxa" w:w="3220"/>
            <w:tcMar>
              <w:top w:w="80" w:type="dxa"/>
              <w:start w:w="120" w:type="dxa"/>
              <w:bottom w:w="80" w:type="dxa"/>
              <w:end w:w="120" w:type="dxa"/>
            </w:tcMar>
            <w:vAlign w:val="center"/>
          </w:tcPr>
          <w:p>
            <w:pPr>
              <w:spacing w:after="0" w:line="269" w:lineRule="auto"/>
            </w:pPr>
            <w:r/>
            <w:r>
              <w:rPr>
                <w:rFonts w:ascii="Calibri" w:hAnsi="Calibri"/>
                <w:b w:val="0"/>
                <w:color w:val="0B2545"/>
                <w:sz w:val="18"/>
              </w:rPr>
              <w:t>ProxyWar_Notebook_Context.docx</w:t>
            </w:r>
          </w:p>
        </w:tc>
        <w:tc>
          <w:tcPr>
            <w:tcW w:type="dxa" w:w="6140"/>
            <w:tcMar>
              <w:top w:w="80" w:type="dxa"/>
              <w:start w:w="120" w:type="dxa"/>
              <w:bottom w:w="80" w:type="dxa"/>
              <w:end w:w="120" w:type="dxa"/>
            </w:tcMar>
            <w:vAlign w:val="center"/>
          </w:tcPr>
          <w:p>
            <w:pPr>
              <w:spacing w:after="0" w:line="269" w:lineRule="auto"/>
            </w:pPr>
            <w:r/>
            <w:r>
              <w:rPr>
                <w:rFonts w:ascii="Calibri" w:hAnsi="Calibri"/>
                <w:b w:val="0"/>
                <w:color w:val="0B2545"/>
                <w:sz w:val="18"/>
              </w:rPr>
              <w:t>This concise overview.</w:t>
            </w:r>
          </w:p>
        </w:tc>
      </w:tr>
      <w:tr>
        <w:trPr>
          <w:cantSplit/>
        </w:trPr>
        <w:tc>
          <w:tcPr>
            <w:tcW w:type="dxa" w:w="3220"/>
            <w:tcMar>
              <w:top w:w="80" w:type="dxa"/>
              <w:start w:w="120" w:type="dxa"/>
              <w:bottom w:w="80" w:type="dxa"/>
              <w:end w:w="120" w:type="dxa"/>
            </w:tcMar>
            <w:vAlign w:val="center"/>
          </w:tcPr>
          <w:p>
            <w:pPr>
              <w:spacing w:after="0" w:line="269" w:lineRule="auto"/>
            </w:pPr>
            <w:r/>
            <w:r>
              <w:rPr>
                <w:rFonts w:ascii="Calibri" w:hAnsi="Calibri"/>
                <w:b w:val="0"/>
                <w:color w:val="0B2545"/>
                <w:sz w:val="18"/>
              </w:rPr>
              <w:t>protocol/</w:t>
            </w:r>
          </w:p>
        </w:tc>
        <w:tc>
          <w:tcPr>
            <w:tcW w:type="dxa" w:w="6140"/>
            <w:tcMar>
              <w:top w:w="80" w:type="dxa"/>
              <w:start w:w="120" w:type="dxa"/>
              <w:bottom w:w="80" w:type="dxa"/>
              <w:end w:w="120" w:type="dxa"/>
            </w:tcMar>
            <w:vAlign w:val="center"/>
          </w:tcPr>
          <w:p>
            <w:pPr>
              <w:spacing w:after="0" w:line="269" w:lineRule="auto"/>
            </w:pPr>
            <w:r/>
            <w:r>
              <w:rPr>
                <w:rFonts w:ascii="Calibri" w:hAnsi="Calibri"/>
                <w:b w:val="0"/>
                <w:color w:val="0B2545"/>
                <w:sz w:val="18"/>
              </w:rPr>
              <w:t>The player and global/replay contracts.</w:t>
            </w:r>
          </w:p>
        </w:tc>
      </w:tr>
      <w:tr>
        <w:trPr>
          <w:cantSplit/>
        </w:trPr>
        <w:tc>
          <w:tcPr>
            <w:tcW w:type="dxa" w:w="3220"/>
            <w:tcMar>
              <w:top w:w="80" w:type="dxa"/>
              <w:start w:w="120" w:type="dxa"/>
              <w:bottom w:w="80" w:type="dxa"/>
              <w:end w:w="120" w:type="dxa"/>
            </w:tcMar>
            <w:vAlign w:val="center"/>
          </w:tcPr>
          <w:p>
            <w:pPr>
              <w:spacing w:after="0" w:line="269" w:lineRule="auto"/>
            </w:pPr>
            <w:r/>
            <w:r>
              <w:rPr>
                <w:rFonts w:ascii="Calibri" w:hAnsi="Calibri"/>
                <w:b w:val="0"/>
                <w:color w:val="0B2545"/>
                <w:sz w:val="18"/>
              </w:rPr>
              <w:t>reference-agent/</w:t>
            </w:r>
          </w:p>
        </w:tc>
        <w:tc>
          <w:tcPr>
            <w:tcW w:type="dxa" w:w="6140"/>
            <w:tcMar>
              <w:top w:w="80" w:type="dxa"/>
              <w:start w:w="120" w:type="dxa"/>
              <w:bottom w:w="80" w:type="dxa"/>
              <w:end w:w="120" w:type="dxa"/>
            </w:tcMar>
            <w:vAlign w:val="center"/>
          </w:tcPr>
          <w:p>
            <w:pPr>
              <w:spacing w:after="0" w:line="269" w:lineRule="auto"/>
            </w:pPr>
            <w:r/>
            <w:r>
              <w:rPr>
                <w:rFonts w:ascii="Calibri" w:hAnsi="Calibri"/>
                <w:b w:val="0"/>
                <w:color w:val="0B2545"/>
                <w:sz w:val="18"/>
              </w:rPr>
              <w:t>A small non-LLM Coworld policy baseline.</w:t>
            </w:r>
          </w:p>
        </w:tc>
      </w:tr>
      <w:tr>
        <w:trPr>
          <w:cantSplit/>
        </w:trPr>
        <w:tc>
          <w:tcPr>
            <w:tcW w:type="dxa" w:w="3220"/>
            <w:tcMar>
              <w:top w:w="80" w:type="dxa"/>
              <w:start w:w="120" w:type="dxa"/>
              <w:bottom w:w="80" w:type="dxa"/>
              <w:end w:w="120" w:type="dxa"/>
            </w:tcMar>
            <w:vAlign w:val="center"/>
          </w:tcPr>
          <w:p>
            <w:pPr>
              <w:spacing w:after="0" w:line="269" w:lineRule="auto"/>
            </w:pPr>
            <w:r/>
            <w:r>
              <w:rPr>
                <w:rFonts w:ascii="Calibri" w:hAnsi="Calibri"/>
                <w:b w:val="0"/>
                <w:color w:val="0B2545"/>
                <w:sz w:val="18"/>
              </w:rPr>
              <w:t>licenses/</w:t>
            </w:r>
          </w:p>
        </w:tc>
        <w:tc>
          <w:tcPr>
            <w:tcW w:type="dxa" w:w="6140"/>
            <w:tcMar>
              <w:top w:w="80" w:type="dxa"/>
              <w:start w:w="120" w:type="dxa"/>
              <w:bottom w:w="80" w:type="dxa"/>
              <w:end w:w="120" w:type="dxa"/>
            </w:tcMar>
            <w:vAlign w:val="center"/>
          </w:tcPr>
          <w:p>
            <w:pPr>
              <w:spacing w:after="0" w:line="269" w:lineRule="auto"/>
            </w:pPr>
            <w:r/>
            <w:r>
              <w:rPr>
                <w:rFonts w:ascii="Calibri" w:hAnsi="Calibri"/>
                <w:b w:val="0"/>
                <w:color w:val="0B2545"/>
                <w:sz w:val="18"/>
              </w:rPr>
              <w:t>Applicable license copies for the selected source material.</w:t>
            </w:r>
          </w:p>
        </w:tc>
      </w:tr>
    </w:tbl>
    <w:p>
      <w:pPr>
        <w:spacing w:after="0"/>
      </w:pPr>
    </w:p>
    <w:p>
      <w:pPr>
        <w:pStyle w:val="Heading1"/>
      </w:pPr>
      <w:r>
        <w:t>5. Public source links</w:t>
      </w:r>
    </w:p>
    <w:tbl>
      <w:tblPr>
        <w:tblStyle w:val="TableGrid"/>
        <w:tblW w:type="dxa" w:w="9360"/>
        <w:tblLayout w:type="fixed"/>
        <w:tblLook w:firstColumn="1" w:firstRow="1" w:lastColumn="0" w:lastRow="0" w:noHBand="0" w:noVBand="1" w:val="04A0"/>
        <w:jc w:val="left"/>
        <w:tblInd w:w="120" w:type="dxa"/>
      </w:tblPr>
      <w:tblGrid>
        <w:gridCol w:w="2850"/>
        <w:gridCol w:w="6510"/>
      </w:tblGrid>
      <w:tr>
        <w:trPr>
          <w:cantSplit/>
          <w:tblHeader w:val="true"/>
          <w:tblHeader w:val="true"/>
        </w:trPr>
        <w:tc>
          <w:tcPr>
            <w:tcW w:type="dxa" w:w="2850"/>
            <w:tcMar>
              <w:top w:w="80" w:type="dxa"/>
              <w:start w:w="120" w:type="dxa"/>
              <w:bottom w:w="80" w:type="dxa"/>
              <w:end w:w="120" w:type="dxa"/>
            </w:tcMar>
            <w:vAlign w:val="center"/>
            <w:shd w:fill="E8EEF5" w:val="clear"/>
          </w:tcPr>
          <w:p>
            <w:pPr>
              <w:spacing w:after="0" w:line="269" w:lineRule="auto"/>
            </w:pPr>
            <w:r/>
            <w:r>
              <w:rPr>
                <w:rFonts w:ascii="Calibri" w:hAnsi="Calibri"/>
                <w:b/>
                <w:color w:val="0B2545"/>
                <w:sz w:val="18"/>
              </w:rPr>
              <w:t>Public material</w:t>
            </w:r>
          </w:p>
        </w:tc>
        <w:tc>
          <w:tcPr>
            <w:tcW w:type="dxa" w:w="6510"/>
            <w:tcMar>
              <w:top w:w="80" w:type="dxa"/>
              <w:start w:w="120" w:type="dxa"/>
              <w:bottom w:w="80" w:type="dxa"/>
              <w:end w:w="120" w:type="dxa"/>
            </w:tcMar>
            <w:vAlign w:val="center"/>
            <w:shd w:fill="E8EEF5" w:val="clear"/>
          </w:tcPr>
          <w:p>
            <w:pPr>
              <w:spacing w:after="0" w:line="269" w:lineRule="auto"/>
            </w:pPr>
            <w:r/>
            <w:r>
              <w:rPr>
                <w:rFonts w:ascii="Calibri" w:hAnsi="Calibri"/>
                <w:b/>
                <w:color w:val="0B2545"/>
                <w:sz w:val="18"/>
              </w:rPr>
              <w:t>Link and use</w:t>
            </w:r>
          </w:p>
        </w:tc>
      </w:tr>
      <w:tr>
        <w:trPr>
          <w:cantSplit/>
        </w:trPr>
        <w:tc>
          <w:tcPr>
            <w:tcW w:type="dxa" w:w="2850"/>
            <w:tcMar>
              <w:top w:w="80" w:type="dxa"/>
              <w:start w:w="120" w:type="dxa"/>
              <w:bottom w:w="80" w:type="dxa"/>
              <w:end w:w="120" w:type="dxa"/>
            </w:tcMar>
            <w:vAlign w:val="center"/>
          </w:tcPr>
          <w:p>
            <w:pPr>
              <w:spacing w:after="0" w:line="269" w:lineRule="auto"/>
            </w:pPr>
            <w:r/>
            <w:r>
              <w:rPr>
                <w:rFonts w:ascii="Calibri" w:hAnsi="Calibri"/>
                <w:b/>
                <w:color w:val="0B2545"/>
                <w:sz w:val="18"/>
              </w:rPr>
              <w:t>Proxy War source</w:t>
            </w:r>
          </w:p>
        </w:tc>
        <w:tc>
          <w:tcPr>
            <w:tcW w:type="dxa" w:w="6510"/>
            <w:tcMar>
              <w:top w:w="80" w:type="dxa"/>
              <w:start w:w="120" w:type="dxa"/>
              <w:bottom w:w="80" w:type="dxa"/>
              <w:end w:w="120" w:type="dxa"/>
            </w:tcMar>
            <w:vAlign w:val="center"/>
          </w:tcPr>
          <w:p>
            <w:pPr>
              <w:spacing w:after="40"/>
            </w:pPr>
            <w:r/>
            <w:hyperlink r:id="rId14">
              <w:r>
                <w:rPr>
                  <w:rFonts w:ascii="Calibri" w:hAnsi="Calibri"/>
                  <w:color w:val="2E74B5"/>
                  <w:sz w:val="19"/>
                  <w:u w:val="single"/>
                </w:rPr>
                <w:t>github.com/0xNad/ProxyWar ↗</w:t>
              </w:r>
            </w:hyperlink>
          </w:p>
          <w:p>
            <w:pPr>
              <w:spacing w:after="0"/>
            </w:pPr>
            <w:r>
              <w:rPr>
                <w:rFonts w:ascii="Calibri" w:hAnsi="Calibri" w:eastAsia="Calibri"/>
                <w:b w:val="0"/>
                <w:i w:val="0"/>
                <w:color w:val="475569"/>
                <w:sz w:val="17"/>
              </w:rPr>
              <w:t>Platform and protocol source of truth.</w:t>
            </w:r>
          </w:p>
        </w:tc>
      </w:tr>
      <w:tr>
        <w:trPr>
          <w:cantSplit/>
        </w:trPr>
        <w:tc>
          <w:tcPr>
            <w:tcW w:type="dxa" w:w="2850"/>
            <w:tcMar>
              <w:top w:w="80" w:type="dxa"/>
              <w:start w:w="120" w:type="dxa"/>
              <w:bottom w:w="80" w:type="dxa"/>
              <w:end w:w="120" w:type="dxa"/>
            </w:tcMar>
            <w:vAlign w:val="center"/>
          </w:tcPr>
          <w:p>
            <w:pPr>
              <w:spacing w:after="0" w:line="269" w:lineRule="auto"/>
            </w:pPr>
            <w:r/>
            <w:r>
              <w:rPr>
                <w:rFonts w:ascii="Calibri" w:hAnsi="Calibri"/>
                <w:b/>
                <w:color w:val="0B2545"/>
                <w:sz w:val="18"/>
              </w:rPr>
              <w:t>Proxy War Coworld adapter</w:t>
            </w:r>
          </w:p>
        </w:tc>
        <w:tc>
          <w:tcPr>
            <w:tcW w:type="dxa" w:w="6510"/>
            <w:tcMar>
              <w:top w:w="80" w:type="dxa"/>
              <w:start w:w="120" w:type="dxa"/>
              <w:bottom w:w="80" w:type="dxa"/>
              <w:end w:w="120" w:type="dxa"/>
            </w:tcMar>
            <w:vAlign w:val="center"/>
          </w:tcPr>
          <w:p>
            <w:pPr>
              <w:spacing w:after="40"/>
            </w:pPr>
            <w:r/>
            <w:hyperlink r:id="rId15">
              <w:r>
                <w:rPr>
                  <w:rFonts w:ascii="Calibri" w:hAnsi="Calibri"/>
                  <w:color w:val="2E74B5"/>
                  <w:sz w:val="19"/>
                  <w:u w:val="single"/>
                </w:rPr>
                <w:t>github.com/0xNad/ProxyWar/tree/main/coworld-adapter ↗</w:t>
              </w:r>
            </w:hyperlink>
          </w:p>
          <w:p>
            <w:pPr>
              <w:spacing w:after="0"/>
            </w:pPr>
            <w:r>
              <w:rPr>
                <w:rFonts w:ascii="Calibri" w:hAnsi="Calibri" w:eastAsia="Calibri"/>
                <w:b w:val="0"/>
                <w:i w:val="0"/>
                <w:color w:val="475569"/>
                <w:sz w:val="17"/>
              </w:rPr>
              <w:t>Active Coworld integration and the source of the selected examples.</w:t>
            </w:r>
          </w:p>
        </w:tc>
      </w:tr>
      <w:tr>
        <w:trPr>
          <w:cantSplit/>
        </w:trPr>
        <w:tc>
          <w:tcPr>
            <w:tcW w:type="dxa" w:w="2850"/>
            <w:tcMar>
              <w:top w:w="80" w:type="dxa"/>
              <w:start w:w="120" w:type="dxa"/>
              <w:bottom w:w="80" w:type="dxa"/>
              <w:end w:w="120" w:type="dxa"/>
            </w:tcMar>
            <w:vAlign w:val="center"/>
          </w:tcPr>
          <w:p>
            <w:pPr>
              <w:spacing w:after="0" w:line="269" w:lineRule="auto"/>
            </w:pPr>
            <w:r/>
            <w:r>
              <w:rPr>
                <w:rFonts w:ascii="Calibri" w:hAnsi="Calibri"/>
                <w:b/>
                <w:color w:val="0B2545"/>
                <w:sz w:val="18"/>
              </w:rPr>
              <w:t>Coworld source</w:t>
            </w:r>
          </w:p>
        </w:tc>
        <w:tc>
          <w:tcPr>
            <w:tcW w:type="dxa" w:w="6510"/>
            <w:tcMar>
              <w:top w:w="80" w:type="dxa"/>
              <w:start w:w="120" w:type="dxa"/>
              <w:bottom w:w="80" w:type="dxa"/>
              <w:end w:w="120" w:type="dxa"/>
            </w:tcMar>
            <w:vAlign w:val="center"/>
          </w:tcPr>
          <w:p>
            <w:pPr>
              <w:spacing w:after="40"/>
            </w:pPr>
            <w:r/>
            <w:hyperlink r:id="rId16">
              <w:r>
                <w:rPr>
                  <w:rFonts w:ascii="Calibri" w:hAnsi="Calibri"/>
                  <w:color w:val="2E74B5"/>
                  <w:sz w:val="19"/>
                  <w:u w:val="single"/>
                </w:rPr>
                <w:t>github.com/Metta-AI/coworld ↗</w:t>
              </w:r>
            </w:hyperlink>
          </w:p>
          <w:p>
            <w:pPr>
              <w:spacing w:after="0"/>
            </w:pPr>
            <w:r>
              <w:rPr>
                <w:rFonts w:ascii="Calibri" w:hAnsi="Calibri" w:eastAsia="Calibri"/>
                <w:b w:val="0"/>
                <w:i w:val="0"/>
                <w:color w:val="475569"/>
                <w:sz w:val="17"/>
              </w:rPr>
              <w:t>Upstream packaging and league tooling.</w:t>
            </w:r>
          </w:p>
        </w:tc>
      </w:tr>
    </w:tbl>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6" w:footer="70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b w:val="0"/>
        <w:i w:val="0"/>
        <w:color w:val="667085"/>
        <w:sz w:val="17"/>
      </w:rPr>
      <w:t xml:space="preserve">PAGE </w:t>
    </w:r>
    <w:r>
      <w:rPr>
        <w:rFonts w:ascii="Calibri" w:hAnsi="Calibri" w:eastAsia="Calibri"/>
        <w:b w:val="0"/>
        <w:i w:val="0"/>
        <w:color w:val="667085"/>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Calibri"/>
        <w:b/>
        <w:i w:val="0"/>
        <w:color w:val="667085"/>
        <w:sz w:val="16"/>
      </w:rPr>
      <w:t>NOTEBOOK CONTEXT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5" w:color="C9D5E3"/>
      </w:pBdr>
    </w:pPr>
    <w:r>
      <w:rPr>
        <w:rFonts w:ascii="Calibri" w:hAnsi="Calibri" w:eastAsia="Calibri"/>
        <w:b/>
        <w:i w:val="0"/>
        <w:color w:val="667085"/>
        <w:sz w:val="17"/>
      </w:rPr>
      <w:t>PROXY WAR  /  NOTEBOOK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5" w:color="2E74B5"/>
      </w:pBdr>
    </w:pPr>
    <w:r>
      <w:rPr>
        <w:rFonts w:ascii="Calibri" w:hAnsi="Calibri" w:eastAsia="Calibri"/>
        <w:b/>
        <w:i w:val="0"/>
        <w:color w:val="2E74B5"/>
        <w:sz w:val="17"/>
      </w:rPr>
      <w:t>PROXY WAR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eastAsia="Calibri"/>
      <w:color w:val="0B25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pPr>
    <w:rPr>
      <w:rFonts w:asciiTheme="majorHAnsi" w:eastAsiaTheme="majorEastAsia" w:hAnsiTheme="majorHAnsi" w:cstheme="majorBidi" w:ascii="Calibri" w:hAnsi="Calibri" w:eastAsia="Calibri"/>
      <w:b w:val="0"/>
      <w:i/>
      <w:iCs/>
      <w:color w:val="475569"/>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Calibri" w:hAnsi="Calibri" w:eastAsia="Calibri"/>
      <w:color w:val="0B2545"/>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Calibri" w:hAnsi="Calibri" w:eastAsia="Calibri"/>
      <w:color w:val="0B2545"/>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WCode">
    <w:name w:val="PW Code"/>
    <w:pPr>
      <w:keepLines/>
      <w:spacing w:before="80" w:after="120" w:line="240" w:lineRule="auto"/>
      <w:ind w:left="230" w:right="173"/>
    </w:pPr>
    <w:rPr>
      <w:rFonts w:ascii="Consolas" w:hAnsi="Consolas" w:eastAsia="Consolas"/>
      <w:color w:val="0B2545"/>
      <w:sz w:val="17"/>
    </w:rPr>
  </w:style>
  <w:style w:type="paragraph" w:customStyle="1" w:styleId="PWKicker">
    <w:name w:val="PW Kicker"/>
    <w:pPr>
      <w:spacing w:after="160"/>
    </w:pPr>
    <w:rPr>
      <w:rFonts w:ascii="Calibri" w:hAnsi="Calibri" w:eastAsia="Calibri"/>
      <w:b/>
      <w:color w:val="2E74B5"/>
      <w:sz w:val="18"/>
    </w:rPr>
  </w:style>
  <w:style w:type="paragraph" w:customStyle="1" w:styleId="PWLabel">
    <w:name w:val="PW Label"/>
    <w:pPr>
      <w:keepNext/>
      <w:spacing w:after="60"/>
    </w:pPr>
    <w:rPr>
      <w:rFonts w:ascii="Calibri" w:hAnsi="Calibri" w:eastAsia="Calibri"/>
      <w:b/>
      <w:color w:val="2E74B5"/>
      <w:sz w:val="16"/>
    </w:rPr>
  </w:style>
  <w:style w:type="paragraph" w:customStyle="1" w:styleId="PWSmall">
    <w:name w:val="PW Small"/>
    <w:pPr>
      <w:spacing w:after="80" w:line="269" w:lineRule="auto"/>
    </w:pPr>
    <w:rPr>
      <w:rFonts w:ascii="Calibri" w:hAnsi="Calibri" w:eastAsia="Calibri"/>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github.com/0xNad/ProxyWar" TargetMode="External"/><Relationship Id="rId15" Type="http://schemas.openxmlformats.org/officeDocument/2006/relationships/hyperlink" Target="https://github.com/0xNad/ProxyWar/tree/main/coworld-adapter" TargetMode="External"/><Relationship Id="rId16" Type="http://schemas.openxmlformats.org/officeDocument/2006/relationships/hyperlink" Target="https://github.com/Metta-AI/cowor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Proxy War Notebook Context</dc:title>
  <dc:subject>A concise, exploratory overview of existing Proxy War agent materials</dc:subject>
  <dc:creator>Proxy War</dc:creator>
  <cp:keywords>Proxy War, Coworld, agent notebook, replay, LegalAction</cp:keywords>
  <dc:description>External-shareable context note assembled from public repository materials.</dc:description>
  <cp:lastModifiedBy/>
  <cp:revision>1</cp:revision>
  <dcterms:created xsi:type="dcterms:W3CDTF">2013-12-23T23:15:00Z</dcterms:created>
  <dcterms:modified xsi:type="dcterms:W3CDTF">2013-12-23T23:15:00Z</dcterms:modified>
  <cp:category/>
</cp:coreProperties>
</file>