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F0" w:rsidRPr="00897FAC" w:rsidRDefault="00F912DE" w:rsidP="00617FBE">
      <w:pPr>
        <w:pStyle w:val="Heading1"/>
      </w:pPr>
      <w:r>
        <w:t>Chapter 1</w:t>
      </w:r>
      <w:r w:rsidR="002A27F0" w:rsidRPr="00897FAC">
        <w:t>: Asset Allocation and Weighting Strategy</w:t>
      </w:r>
    </w:p>
    <w:p w:rsidR="002A27F0" w:rsidRPr="00897FAC" w:rsidRDefault="002A27F0" w:rsidP="00617FBE">
      <w:pPr>
        <w:pStyle w:val="Heading2"/>
      </w:pPr>
      <w:r w:rsidRPr="00897FAC">
        <w:t>Introduction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Index Fund is designed to provide diversified exposure to the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ecosystem by utilizing a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Market Capitalization Weighting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strategy. This approach ensures that assets are allocated based on their market value, while maintaining industry-level balance through sector caps. The goal is to create a structured and adaptable fund that mitigates risk, optimizes growth potential, and remains flexible to market fluctuations.</w:t>
      </w:r>
    </w:p>
    <w:p w:rsidR="002A27F0" w:rsidRPr="00897FAC" w:rsidRDefault="002A27F0" w:rsidP="00617FBE">
      <w:pPr>
        <w:pStyle w:val="Heading2"/>
      </w:pPr>
      <w:r w:rsidRPr="00897FAC">
        <w:t>Sector-Based Allocation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To achieve diversification, the fund is divided into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five key sectors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, each representing a distinct component of the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ecosystem. Each sector is assigned a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allocation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based on the total market capitalization of all tokens within it. However, to prevent over-concentration in any single sector, a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maximum cap of 40% per sector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is applied.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>The five sectors included in the fund are:</w:t>
      </w:r>
    </w:p>
    <w:p w:rsidR="002A27F0" w:rsidRDefault="002A27F0" w:rsidP="002A2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Core </w:t>
      </w: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Smart Contract Platforms (40%)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This sector includes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Hedera's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native asset (HBAR) along with wrapped versions of major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assets, such as Wrapped Bitcoin (WBTC), Wrapped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(WETH), and Wrapped Avalanche (WAVAX). These assets provide foundational stability and high liquidity.</w:t>
      </w:r>
    </w:p>
    <w:p w:rsidR="006C1556" w:rsidRPr="00897FAC" w:rsidRDefault="006C1556" w:rsidP="006C1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1556" w:rsidRDefault="002A27F0" w:rsidP="006C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DEX Tokens (20%)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Tokens that power decentralized finance (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DeFi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) and decentralized exchanges (DEXs) on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>, such as SAUCE (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SaucerSwap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xSAUCE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>, HBARX, and HLQT.</w:t>
      </w:r>
    </w:p>
    <w:p w:rsidR="006C1556" w:rsidRPr="00897FAC" w:rsidRDefault="006C1556" w:rsidP="006C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7F0" w:rsidRDefault="002A27F0" w:rsidP="002A2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Stablecoins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(15%)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-native and bridged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stablecoins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like USDC, USDT, DAI, and HCHF. These provide price stability and liquidity to the fund, ensuring smooth transactions and rebalancing.</w:t>
      </w:r>
    </w:p>
    <w:p w:rsidR="006C1556" w:rsidRPr="00897FAC" w:rsidRDefault="006C1556" w:rsidP="006C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7F0" w:rsidRPr="00897FAC" w:rsidRDefault="002A27F0" w:rsidP="002A2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&amp; Utility Tokens (15%)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Tokens representing business applications, sustainability initiatives, and tokenized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launchpads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Calaxy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(CLXY), DOVU, and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HeadStarter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(HST).</w:t>
      </w:r>
    </w:p>
    <w:p w:rsidR="002A27F0" w:rsidRPr="00897FAC" w:rsidRDefault="002A27F0" w:rsidP="002A27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GameFi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NFT Infrastructure (10%)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Tokens supporting gaming finance, NFT marketplaces, and entertainment ecosystems, including Tune.FM (JAM), Karate Combat (KARATE),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HashPack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(PACK), GRELF, and STEAM.</w:t>
      </w:r>
    </w:p>
    <w:p w:rsidR="002A27F0" w:rsidRPr="00897FAC" w:rsidRDefault="002A27F0" w:rsidP="00617FBE">
      <w:pPr>
        <w:pStyle w:val="Heading2"/>
      </w:pPr>
      <w:r w:rsidRPr="00897FAC">
        <w:t>Token Weighting Within Each Sector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Within each sector, individual tokens are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purely based on their market capitalization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. Unlike traditional index funds that may impose caps at the token level, this fund allows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the largest tokens within each sector to receive the highest weight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>. This method ensures that assets with strong market performance are proportionally represented in the portfolio.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>The formula for token allocation within a sector is: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This dynamic approach allows token weights to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naturally adjust over time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>, reflecting real market trends while keeping sector allocations balanced.</w:t>
      </w:r>
    </w:p>
    <w:p w:rsidR="002A27F0" w:rsidRPr="00897FAC" w:rsidRDefault="002A27F0" w:rsidP="00617FBE">
      <w:pPr>
        <w:pStyle w:val="Heading2"/>
      </w:pPr>
      <w:r w:rsidRPr="00897FAC">
        <w:t>Example Allocation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>Using estimated market capitalizations, the following is an example of how the fund is structured:</w:t>
      </w:r>
    </w:p>
    <w:p w:rsidR="002A27F0" w:rsidRPr="00897FAC" w:rsidRDefault="002A27F0" w:rsidP="002A2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 Platforms (40%)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340"/>
        <w:gridCol w:w="2320"/>
        <w:gridCol w:w="2043"/>
      </w:tblGrid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Cap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Within Sector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Fund Weight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HBAR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$5B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83.33%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33.33%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Wrapped BTC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$500M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8.33%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3.33%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Wrapped ETH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$300M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Wrapped AVAX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$200M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3.33%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1.33%</w:t>
            </w:r>
          </w:p>
        </w:tc>
      </w:tr>
    </w:tbl>
    <w:p w:rsidR="002A27F0" w:rsidRPr="00897FAC" w:rsidRDefault="002A27F0" w:rsidP="002A2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DeFi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DEX Tokens (20%)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340"/>
        <w:gridCol w:w="2320"/>
        <w:gridCol w:w="2043"/>
      </w:tblGrid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Cap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Within Sector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Fund Weight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SAUCE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$35M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xSAUCE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HBARX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HLQT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</w:tbl>
    <w:p w:rsidR="002A27F0" w:rsidRPr="00897FAC" w:rsidRDefault="002A27F0" w:rsidP="002A2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Stablecoins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(15%)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40"/>
        <w:gridCol w:w="2320"/>
        <w:gridCol w:w="2043"/>
      </w:tblGrid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Cap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Within Sector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Fund Weight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USDC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USDT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$50M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33.33%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DAI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$25M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16.67%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2.5%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HCHF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$25M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16.67%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2.5%</w:t>
            </w:r>
          </w:p>
        </w:tc>
      </w:tr>
    </w:tbl>
    <w:p w:rsidR="002A27F0" w:rsidRPr="00897FAC" w:rsidRDefault="002A27F0" w:rsidP="002A2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&amp; Utility Tokens (15%)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340"/>
        <w:gridCol w:w="2320"/>
        <w:gridCol w:w="2043"/>
      </w:tblGrid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Cap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Within Sector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Fund Weight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Calaxy</w:t>
            </w:r>
            <w:proofErr w:type="spellEnd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(CLXY)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$20M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DOVU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4.5%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HeadStarter</w:t>
            </w:r>
            <w:proofErr w:type="spellEnd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(HST)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$15M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4.5%</w:t>
            </w:r>
          </w:p>
        </w:tc>
      </w:tr>
    </w:tbl>
    <w:p w:rsidR="002A27F0" w:rsidRPr="00897FAC" w:rsidRDefault="002A27F0" w:rsidP="002A27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GameFi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NFT Infrastructure (10%)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1340"/>
        <w:gridCol w:w="2320"/>
        <w:gridCol w:w="2043"/>
      </w:tblGrid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Cap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 Within Sector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Fund Weight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Tune.FM (JAM)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Karate Combat (KARATE)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HashPack</w:t>
            </w:r>
            <w:proofErr w:type="spellEnd"/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(PACK)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GRELF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  <w:tr w:rsidR="002A27F0" w:rsidRPr="00897FAC" w:rsidTr="00392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STEAM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A27F0" w:rsidRPr="00897FAC" w:rsidRDefault="002A27F0" w:rsidP="00F73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F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</w:tc>
      </w:tr>
    </w:tbl>
    <w:p w:rsidR="002A27F0" w:rsidRDefault="002A27F0" w:rsidP="002A27F0"/>
    <w:p w:rsidR="002A27F0" w:rsidRDefault="002A27F0" w:rsidP="002A27F0"/>
    <w:p w:rsidR="002A27F0" w:rsidRDefault="002A27F0" w:rsidP="002A27F0"/>
    <w:p w:rsidR="002A27F0" w:rsidRDefault="002A27F0" w:rsidP="002A2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27F0" w:rsidRPr="00897FAC" w:rsidRDefault="002A27F0" w:rsidP="00617FBE">
      <w:pPr>
        <w:pStyle w:val="Heading2"/>
      </w:pPr>
      <w:r w:rsidRPr="00897FAC">
        <w:t>Key Takeaways</w:t>
      </w:r>
    </w:p>
    <w:p w:rsidR="002A27F0" w:rsidRPr="00897FAC" w:rsidRDefault="002A27F0" w:rsidP="002A2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Industry-Based Capping (40%)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No single industry can dominate the fund.</w:t>
      </w:r>
    </w:p>
    <w:p w:rsidR="002A27F0" w:rsidRPr="00897FAC" w:rsidRDefault="002A27F0" w:rsidP="002A2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Market Cap Weighting Within Sectors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Larger tokens receive proportionally higher weights.</w:t>
      </w:r>
    </w:p>
    <w:p w:rsidR="002A27F0" w:rsidRPr="00897FAC" w:rsidRDefault="002A27F0" w:rsidP="002A2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Adjustments Over Time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The fund rebalances naturally as market caps fluctuate.</w:t>
      </w:r>
    </w:p>
    <w:p w:rsidR="002A27F0" w:rsidRPr="00897FAC" w:rsidRDefault="002A27F0" w:rsidP="002A2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No Token-Level Caps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Allocations remain organic within each sector, preventing artificial constraints.</w:t>
      </w:r>
    </w:p>
    <w:p w:rsidR="002A27F0" w:rsidRPr="00897FAC" w:rsidRDefault="002A27F0" w:rsidP="002A27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Stablecoin</w:t>
      </w:r>
      <w:proofErr w:type="spellEnd"/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 (15%)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– Ensures liquidity for rebalancing and fund stability.</w:t>
      </w:r>
    </w:p>
    <w:p w:rsidR="002A27F0" w:rsidRPr="00897FAC" w:rsidRDefault="002A27F0" w:rsidP="002A2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By structuring the fund in this way, we create a </w:t>
      </w:r>
      <w:r w:rsidRPr="00897FAC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diversified, adaptable, and market-driven investment vehicle</w:t>
      </w:r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897FAC">
        <w:rPr>
          <w:rFonts w:ascii="Times New Roman" w:eastAsia="Times New Roman" w:hAnsi="Times New Roman" w:cs="Times New Roman"/>
          <w:sz w:val="24"/>
          <w:szCs w:val="24"/>
        </w:rPr>
        <w:t>Hedera</w:t>
      </w:r>
      <w:proofErr w:type="spellEnd"/>
      <w:r w:rsidRPr="00897FAC">
        <w:rPr>
          <w:rFonts w:ascii="Times New Roman" w:eastAsia="Times New Roman" w:hAnsi="Times New Roman" w:cs="Times New Roman"/>
          <w:sz w:val="24"/>
          <w:szCs w:val="24"/>
        </w:rPr>
        <w:t xml:space="preserve"> ecosystem.</w:t>
      </w:r>
    </w:p>
    <w:p w:rsidR="002A27F0" w:rsidRDefault="002A27F0" w:rsidP="002A27F0"/>
    <w:p w:rsidR="00617FBE" w:rsidRDefault="00617FBE">
      <w:pPr>
        <w:pStyle w:val="Heading1"/>
      </w:pPr>
      <w:r>
        <w:lastRenderedPageBreak/>
        <w:br/>
      </w:r>
    </w:p>
    <w:p w:rsidR="00191450" w:rsidRDefault="002A27F0">
      <w:pPr>
        <w:pStyle w:val="Heading1"/>
      </w:pPr>
      <w:r>
        <w:br/>
      </w:r>
      <w:r>
        <w:br/>
        <w:t xml:space="preserve">Chapter 2: </w:t>
      </w:r>
      <w:r w:rsidR="00617FBE">
        <w:t>Governance and Voting Mechanisms</w:t>
      </w:r>
    </w:p>
    <w:p w:rsidR="00191450" w:rsidRDefault="00617FBE">
      <w:pPr>
        <w:pStyle w:val="Heading2"/>
      </w:pPr>
      <w:r>
        <w:t>Introduction</w:t>
      </w:r>
      <w:bookmarkStart w:id="0" w:name="_GoBack"/>
      <w:bookmarkEnd w:id="0"/>
    </w:p>
    <w:p w:rsidR="00191450" w:rsidRDefault="00617FBE">
      <w:r>
        <w:t xml:space="preserve">The Lynxify Index Fund is governed by a fully decentralized DAO, where community members propose and vote on changes. To ensure decentralization while preventing governance abuse, this chapter outlines the </w:t>
      </w:r>
      <w:r>
        <w:t>rules, constraints, and voting m</w:t>
      </w:r>
      <w:r w:rsidR="00F912DE">
        <w:t>echanics that govern the fund.</w:t>
      </w:r>
    </w:p>
    <w:p w:rsidR="00191450" w:rsidRDefault="00617FBE">
      <w:pPr>
        <w:pStyle w:val="Heading2"/>
      </w:pPr>
      <w:r>
        <w:t>1. Voting on Fund Manag</w:t>
      </w:r>
      <w:r>
        <w:t>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277"/>
        <w:gridCol w:w="4205"/>
      </w:tblGrid>
      <w:tr w:rsidR="00191450" w:rsidTr="00A72F83">
        <w:tc>
          <w:tcPr>
            <w:tcW w:w="2374" w:type="dxa"/>
          </w:tcPr>
          <w:p w:rsidR="00191450" w:rsidRPr="00A72F83" w:rsidRDefault="00617FBE">
            <w:pPr>
              <w:rPr>
                <w:b/>
              </w:rPr>
            </w:pPr>
            <w:r w:rsidRPr="00A72F83">
              <w:rPr>
                <w:b/>
              </w:rPr>
              <w:t>Governance Area</w:t>
            </w:r>
          </w:p>
        </w:tc>
        <w:tc>
          <w:tcPr>
            <w:tcW w:w="2277" w:type="dxa"/>
          </w:tcPr>
          <w:p w:rsidR="00191450" w:rsidRPr="00A72F83" w:rsidRDefault="00617FBE">
            <w:pPr>
              <w:rPr>
                <w:b/>
              </w:rPr>
            </w:pPr>
            <w:r w:rsidRPr="00A72F83">
              <w:rPr>
                <w:b/>
              </w:rPr>
              <w:t>Allowed Range</w:t>
            </w:r>
          </w:p>
        </w:tc>
        <w:tc>
          <w:tcPr>
            <w:tcW w:w="4205" w:type="dxa"/>
          </w:tcPr>
          <w:p w:rsidR="00191450" w:rsidRPr="00A72F83" w:rsidRDefault="00617FBE">
            <w:pPr>
              <w:rPr>
                <w:b/>
              </w:rPr>
            </w:pPr>
            <w:r w:rsidRPr="00A72F83">
              <w:rPr>
                <w:b/>
              </w:rPr>
              <w:t>Voting Parameters (User Input)</w:t>
            </w:r>
          </w:p>
        </w:tc>
      </w:tr>
      <w:tr w:rsidR="00191450" w:rsidTr="00A72F83">
        <w:tc>
          <w:tcPr>
            <w:tcW w:w="2374" w:type="dxa"/>
          </w:tcPr>
          <w:p w:rsidR="00191450" w:rsidRDefault="00617FBE">
            <w:r>
              <w:t>Rebalancing Frequency</w:t>
            </w:r>
          </w:p>
        </w:tc>
        <w:tc>
          <w:tcPr>
            <w:tcW w:w="2277" w:type="dxa"/>
          </w:tcPr>
          <w:p w:rsidR="00191450" w:rsidRDefault="00617FBE">
            <w:r>
              <w:t>Weekly – Bi-Weekly – Monthly</w:t>
            </w:r>
            <w:r w:rsidR="00F912DE">
              <w:t>-Quarterly</w:t>
            </w:r>
          </w:p>
        </w:tc>
        <w:tc>
          <w:tcPr>
            <w:tcW w:w="4205" w:type="dxa"/>
          </w:tcPr>
          <w:p w:rsidR="00191450" w:rsidRDefault="00617FBE">
            <w:r>
              <w:t>set_rebalance_frequency("weekly" | "bi-weekly" | "monthly"</w:t>
            </w:r>
            <w:r w:rsidR="00F912DE">
              <w:t xml:space="preserve"> | “Quarterly”</w:t>
            </w:r>
            <w:r>
              <w:t>)</w:t>
            </w:r>
          </w:p>
        </w:tc>
      </w:tr>
      <w:tr w:rsidR="00191450" w:rsidTr="00A72F83">
        <w:trPr>
          <w:trHeight w:val="657"/>
        </w:trPr>
        <w:tc>
          <w:tcPr>
            <w:tcW w:w="2374" w:type="dxa"/>
          </w:tcPr>
          <w:p w:rsidR="00191450" w:rsidRDefault="00617FBE">
            <w:proofErr w:type="spellStart"/>
            <w:r>
              <w:t>Stablecoin</w:t>
            </w:r>
            <w:proofErr w:type="spellEnd"/>
            <w:r>
              <w:t xml:space="preserve"> Allocation</w:t>
            </w:r>
          </w:p>
        </w:tc>
        <w:tc>
          <w:tcPr>
            <w:tcW w:w="2277" w:type="dxa"/>
          </w:tcPr>
          <w:p w:rsidR="00191450" w:rsidRDefault="00617FBE">
            <w:r>
              <w:t>15% – 50%</w:t>
            </w:r>
          </w:p>
        </w:tc>
        <w:tc>
          <w:tcPr>
            <w:tcW w:w="4205" w:type="dxa"/>
          </w:tcPr>
          <w:p w:rsidR="00191450" w:rsidRDefault="00617FBE">
            <w:r>
              <w:t>adjust_stablecoin_all</w:t>
            </w:r>
            <w:r w:rsidR="00A72F83">
              <w:t xml:space="preserve">ocation(user_input%) </w:t>
            </w:r>
          </w:p>
        </w:tc>
      </w:tr>
    </w:tbl>
    <w:p w:rsidR="00191450" w:rsidRDefault="00617FBE">
      <w:pPr>
        <w:pStyle w:val="Heading2"/>
      </w:pPr>
      <w:r>
        <w:t>2. Voting on Token Weights Within Each Sector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038"/>
      </w:tblGrid>
      <w:tr w:rsidR="00191450" w:rsidTr="00E97D8E">
        <w:tc>
          <w:tcPr>
            <w:tcW w:w="2880" w:type="dxa"/>
          </w:tcPr>
          <w:p w:rsidR="00191450" w:rsidRPr="00E97D8E" w:rsidRDefault="00617FBE">
            <w:pPr>
              <w:rPr>
                <w:b/>
              </w:rPr>
            </w:pPr>
            <w:r w:rsidRPr="00E97D8E">
              <w:rPr>
                <w:b/>
              </w:rPr>
              <w:t>Governance Area</w:t>
            </w:r>
          </w:p>
        </w:tc>
        <w:tc>
          <w:tcPr>
            <w:tcW w:w="2880" w:type="dxa"/>
          </w:tcPr>
          <w:p w:rsidR="00191450" w:rsidRPr="00E97D8E" w:rsidRDefault="00617FBE">
            <w:pPr>
              <w:rPr>
                <w:b/>
              </w:rPr>
            </w:pPr>
            <w:r w:rsidRPr="00E97D8E">
              <w:rPr>
                <w:b/>
              </w:rPr>
              <w:t>Allowed Range</w:t>
            </w:r>
          </w:p>
        </w:tc>
        <w:tc>
          <w:tcPr>
            <w:tcW w:w="3038" w:type="dxa"/>
          </w:tcPr>
          <w:p w:rsidR="00191450" w:rsidRPr="00E97D8E" w:rsidRDefault="00617FBE">
            <w:pPr>
              <w:rPr>
                <w:b/>
              </w:rPr>
            </w:pPr>
            <w:r w:rsidRPr="00E97D8E">
              <w:rPr>
                <w:b/>
              </w:rPr>
              <w:t>Voting Parameters (User Input)</w:t>
            </w:r>
          </w:p>
        </w:tc>
      </w:tr>
      <w:tr w:rsidR="00191450" w:rsidTr="00E97D8E">
        <w:tc>
          <w:tcPr>
            <w:tcW w:w="2880" w:type="dxa"/>
          </w:tcPr>
          <w:p w:rsidR="00191450" w:rsidRDefault="00617FBE">
            <w:r>
              <w:t>Max Cap Per Token</w:t>
            </w:r>
          </w:p>
        </w:tc>
        <w:tc>
          <w:tcPr>
            <w:tcW w:w="2880" w:type="dxa"/>
          </w:tcPr>
          <w:p w:rsidR="00191450" w:rsidRDefault="00E97D8E">
            <w:r>
              <w:t>20-70</w:t>
            </w:r>
            <w:r w:rsidR="00617FBE">
              <w:t>% of sector allocation</w:t>
            </w:r>
          </w:p>
        </w:tc>
        <w:tc>
          <w:tcPr>
            <w:tcW w:w="3038" w:type="dxa"/>
          </w:tcPr>
          <w:p w:rsidR="00191450" w:rsidRDefault="00617FBE">
            <w:r>
              <w:t>enforce_max_token_cap(50%)</w:t>
            </w:r>
          </w:p>
        </w:tc>
      </w:tr>
      <w:tr w:rsidR="00191450" w:rsidTr="00E97D8E">
        <w:tc>
          <w:tcPr>
            <w:tcW w:w="2880" w:type="dxa"/>
          </w:tcPr>
          <w:p w:rsidR="00191450" w:rsidRDefault="00617FBE">
            <w:r>
              <w:t>Redistribute Excess Weight</w:t>
            </w:r>
          </w:p>
        </w:tc>
        <w:tc>
          <w:tcPr>
            <w:tcW w:w="2880" w:type="dxa"/>
          </w:tcPr>
          <w:p w:rsidR="00191450" w:rsidRDefault="00617FBE">
            <w:r>
              <w:t>Auto-redistributed within the sector</w:t>
            </w:r>
          </w:p>
        </w:tc>
        <w:tc>
          <w:tcPr>
            <w:tcW w:w="3038" w:type="dxa"/>
          </w:tcPr>
          <w:p w:rsidR="00191450" w:rsidRDefault="00617FBE">
            <w:r>
              <w:t>auto_re</w:t>
            </w:r>
            <w:r>
              <w:t>distribute()</w:t>
            </w:r>
          </w:p>
        </w:tc>
      </w:tr>
    </w:tbl>
    <w:p w:rsidR="00191450" w:rsidRDefault="00617FBE">
      <w:pPr>
        <w:pStyle w:val="Heading2"/>
      </w:pPr>
      <w:r>
        <w:t>3. Voting on Moving a Token to a Different Sector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2813"/>
        <w:gridCol w:w="3219"/>
      </w:tblGrid>
      <w:tr w:rsidR="00191450" w:rsidTr="00392728">
        <w:tc>
          <w:tcPr>
            <w:tcW w:w="2880" w:type="dxa"/>
          </w:tcPr>
          <w:p w:rsidR="00191450" w:rsidRDefault="00617FBE">
            <w:r>
              <w:t>Governance Area</w:t>
            </w:r>
          </w:p>
        </w:tc>
        <w:tc>
          <w:tcPr>
            <w:tcW w:w="2880" w:type="dxa"/>
          </w:tcPr>
          <w:p w:rsidR="00191450" w:rsidRDefault="00617FBE">
            <w:r>
              <w:t>Allowed Range</w:t>
            </w:r>
          </w:p>
        </w:tc>
        <w:tc>
          <w:tcPr>
            <w:tcW w:w="2880" w:type="dxa"/>
          </w:tcPr>
          <w:p w:rsidR="00191450" w:rsidRDefault="00617FBE">
            <w:r>
              <w:t>Voting Parameters (User Input)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Reassign a Token to a Different Sector</w:t>
            </w:r>
          </w:p>
        </w:tc>
        <w:tc>
          <w:tcPr>
            <w:tcW w:w="2880" w:type="dxa"/>
          </w:tcPr>
          <w:p w:rsidR="00191450" w:rsidRDefault="00617FBE">
            <w:r>
              <w:t>Any token can be moved to another existing industry sector</w:t>
            </w:r>
          </w:p>
        </w:tc>
        <w:tc>
          <w:tcPr>
            <w:tcW w:w="2880" w:type="dxa"/>
          </w:tcPr>
          <w:p w:rsidR="00191450" w:rsidRDefault="00617FBE">
            <w:r>
              <w:t>move_token_to_sector(token_id, n</w:t>
            </w:r>
            <w:r>
              <w:t>ew_sector_id)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Minimum Quorum to Approve a Move</w:t>
            </w:r>
          </w:p>
        </w:tc>
        <w:tc>
          <w:tcPr>
            <w:tcW w:w="2880" w:type="dxa"/>
          </w:tcPr>
          <w:p w:rsidR="00191450" w:rsidRDefault="00617FBE">
            <w:r>
              <w:t>25% of token holders must vote</w:t>
            </w:r>
          </w:p>
        </w:tc>
        <w:tc>
          <w:tcPr>
            <w:tcW w:w="2880" w:type="dxa"/>
          </w:tcPr>
          <w:p w:rsidR="00191450" w:rsidRDefault="00617FBE">
            <w:r>
              <w:t>set_token_move_quorum(25%)</w:t>
            </w:r>
          </w:p>
        </w:tc>
      </w:tr>
    </w:tbl>
    <w:p w:rsidR="00191450" w:rsidRDefault="00617FBE">
      <w:pPr>
        <w:pStyle w:val="Heading2"/>
      </w:pPr>
      <w:r>
        <w:lastRenderedPageBreak/>
        <w:t>4. Voting on Governance Mechanisms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372"/>
        <w:gridCol w:w="4036"/>
      </w:tblGrid>
      <w:tr w:rsidR="00191450" w:rsidTr="00392728">
        <w:tc>
          <w:tcPr>
            <w:tcW w:w="2880" w:type="dxa"/>
          </w:tcPr>
          <w:p w:rsidR="00191450" w:rsidRDefault="00617FBE">
            <w:r>
              <w:t>Governance Area</w:t>
            </w:r>
          </w:p>
        </w:tc>
        <w:tc>
          <w:tcPr>
            <w:tcW w:w="2880" w:type="dxa"/>
          </w:tcPr>
          <w:p w:rsidR="00191450" w:rsidRDefault="00617FBE">
            <w:r>
              <w:t>Allowed Range</w:t>
            </w:r>
          </w:p>
        </w:tc>
        <w:tc>
          <w:tcPr>
            <w:tcW w:w="2880" w:type="dxa"/>
          </w:tcPr>
          <w:p w:rsidR="00191450" w:rsidRDefault="00617FBE">
            <w:r>
              <w:t>Voting Parameters (User Input)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Quadratic Voting Parameters</w:t>
            </w:r>
          </w:p>
        </w:tc>
        <w:tc>
          <w:tcPr>
            <w:tcW w:w="2880" w:type="dxa"/>
          </w:tcPr>
          <w:p w:rsidR="00191450" w:rsidRDefault="00617FBE">
            <w:r>
              <w:t xml:space="preserve">Adjust vote cost curve </w:t>
            </w:r>
            <w:r>
              <w:t>steepness</w:t>
            </w:r>
          </w:p>
        </w:tc>
        <w:tc>
          <w:tcPr>
            <w:tcW w:w="2880" w:type="dxa"/>
          </w:tcPr>
          <w:p w:rsidR="00191450" w:rsidRDefault="00617FBE">
            <w:r>
              <w:t>adjust_vote_curve("moderate" | "strong")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Proposal Submission Rules</w:t>
            </w:r>
          </w:p>
        </w:tc>
        <w:tc>
          <w:tcPr>
            <w:tcW w:w="2880" w:type="dxa"/>
          </w:tcPr>
          <w:p w:rsidR="00191450" w:rsidRDefault="00617FBE">
            <w:r>
              <w:t>0% – 0.5% of circulating supply</w:t>
            </w:r>
          </w:p>
        </w:tc>
        <w:tc>
          <w:tcPr>
            <w:tcW w:w="2880" w:type="dxa"/>
          </w:tcPr>
          <w:p w:rsidR="00191450" w:rsidRDefault="00617FBE">
            <w:r>
              <w:t>set_proposal_requirement(user_input%)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Quorum Requirements</w:t>
            </w:r>
          </w:p>
        </w:tc>
        <w:tc>
          <w:tcPr>
            <w:tcW w:w="2880" w:type="dxa"/>
          </w:tcPr>
          <w:p w:rsidR="00191450" w:rsidRDefault="00617FBE">
            <w:r>
              <w:t>10% – 30% of total votes required to pass</w:t>
            </w:r>
          </w:p>
        </w:tc>
        <w:tc>
          <w:tcPr>
            <w:tcW w:w="2880" w:type="dxa"/>
          </w:tcPr>
          <w:p w:rsidR="00191450" w:rsidRDefault="00617FBE">
            <w:r>
              <w:t>set_quorum_requirement(user_input%)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Execution Delay</w:t>
            </w:r>
          </w:p>
        </w:tc>
        <w:tc>
          <w:tcPr>
            <w:tcW w:w="2880" w:type="dxa"/>
          </w:tcPr>
          <w:p w:rsidR="00191450" w:rsidRDefault="00617FBE">
            <w:r>
              <w:t>1 – 5 days</w:t>
            </w:r>
          </w:p>
        </w:tc>
        <w:tc>
          <w:tcPr>
            <w:tcW w:w="2880" w:type="dxa"/>
          </w:tcPr>
          <w:p w:rsidR="00191450" w:rsidRDefault="00617FBE">
            <w:r>
              <w:t>set_execution_delay(user_input_days)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Governance Change Cooldown</w:t>
            </w:r>
          </w:p>
        </w:tc>
        <w:tc>
          <w:tcPr>
            <w:tcW w:w="2880" w:type="dxa"/>
          </w:tcPr>
          <w:p w:rsidR="00191450" w:rsidRDefault="00617FBE">
            <w:r>
              <w:t>6-month lock for major governance changes</w:t>
            </w:r>
          </w:p>
        </w:tc>
        <w:tc>
          <w:tcPr>
            <w:tcW w:w="2880" w:type="dxa"/>
          </w:tcPr>
          <w:p w:rsidR="00191450" w:rsidRDefault="00617FBE">
            <w:r>
              <w:t>keep_6m_cooldown() | remove_6m_cooldown (67% supermajority required)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Two-Round Approval for Governance Changes</w:t>
            </w:r>
          </w:p>
        </w:tc>
        <w:tc>
          <w:tcPr>
            <w:tcW w:w="2880" w:type="dxa"/>
          </w:tcPr>
          <w:p w:rsidR="00191450" w:rsidRDefault="00617FBE">
            <w:r>
              <w:t xml:space="preserve">Required </w:t>
            </w:r>
            <w:r>
              <w:t>for major voting rule changes</w:t>
            </w:r>
          </w:p>
        </w:tc>
        <w:tc>
          <w:tcPr>
            <w:tcW w:w="2880" w:type="dxa"/>
          </w:tcPr>
          <w:p w:rsidR="00191450" w:rsidRDefault="00617FBE">
            <w:r>
              <w:t>keep_two_rounds() | remove_two_rounds (67% supermajority required)</w:t>
            </w:r>
          </w:p>
        </w:tc>
      </w:tr>
    </w:tbl>
    <w:p w:rsidR="00191450" w:rsidRDefault="00617FBE">
      <w:pPr>
        <w:pStyle w:val="Heading2"/>
      </w:pPr>
      <w:r>
        <w:t>5. Voting on Fee &amp; Revenue Allocations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37"/>
      </w:tblGrid>
      <w:tr w:rsidR="00191450" w:rsidTr="00392728">
        <w:tc>
          <w:tcPr>
            <w:tcW w:w="2880" w:type="dxa"/>
          </w:tcPr>
          <w:p w:rsidR="00191450" w:rsidRDefault="00617FBE">
            <w:r>
              <w:t>Governance Area</w:t>
            </w:r>
          </w:p>
        </w:tc>
        <w:tc>
          <w:tcPr>
            <w:tcW w:w="2880" w:type="dxa"/>
          </w:tcPr>
          <w:p w:rsidR="00191450" w:rsidRDefault="00617FBE">
            <w:r>
              <w:t>Allowed Range</w:t>
            </w:r>
          </w:p>
        </w:tc>
        <w:tc>
          <w:tcPr>
            <w:tcW w:w="2880" w:type="dxa"/>
          </w:tcPr>
          <w:p w:rsidR="00191450" w:rsidRDefault="00617FBE">
            <w:r>
              <w:t>Voting Parameters (User Input)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Lynxify Fee Percentage</w:t>
            </w:r>
          </w:p>
        </w:tc>
        <w:tc>
          <w:tcPr>
            <w:tcW w:w="2880" w:type="dxa"/>
          </w:tcPr>
          <w:p w:rsidR="00191450" w:rsidRDefault="00617FBE">
            <w:r>
              <w:t>0.5% – 3%</w:t>
            </w:r>
          </w:p>
        </w:tc>
        <w:tc>
          <w:tcPr>
            <w:tcW w:w="2880" w:type="dxa"/>
          </w:tcPr>
          <w:p w:rsidR="00191450" w:rsidRDefault="00617FBE">
            <w:r>
              <w:t>set_lynxify_fee(user_inp</w:t>
            </w:r>
            <w:r>
              <w:t>ut%)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Pool Revenue Allocation</w:t>
            </w:r>
          </w:p>
        </w:tc>
        <w:tc>
          <w:tcPr>
            <w:tcW w:w="2880" w:type="dxa"/>
          </w:tcPr>
          <w:p w:rsidR="00191450" w:rsidRDefault="00617FBE">
            <w:r>
              <w:t>Always 100% reinvested</w:t>
            </w:r>
          </w:p>
        </w:tc>
        <w:tc>
          <w:tcPr>
            <w:tcW w:w="2880" w:type="dxa"/>
          </w:tcPr>
          <w:p w:rsidR="00191450" w:rsidRDefault="00617FBE">
            <w:r>
              <w:t>immutable_rule (no_vote)</w:t>
            </w:r>
          </w:p>
        </w:tc>
      </w:tr>
    </w:tbl>
    <w:p w:rsidR="00191450" w:rsidRDefault="00617FBE">
      <w:pPr>
        <w:pStyle w:val="Heading2"/>
      </w:pPr>
      <w:r>
        <w:t>6. Safeguards Against Governance Manipulation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1450" w:rsidTr="00392728">
        <w:tc>
          <w:tcPr>
            <w:tcW w:w="2880" w:type="dxa"/>
          </w:tcPr>
          <w:p w:rsidR="00191450" w:rsidRDefault="00617FBE">
            <w:r>
              <w:t>Governance Area</w:t>
            </w:r>
          </w:p>
        </w:tc>
        <w:tc>
          <w:tcPr>
            <w:tcW w:w="2880" w:type="dxa"/>
          </w:tcPr>
          <w:p w:rsidR="00191450" w:rsidRDefault="00617FBE">
            <w:r>
              <w:t>Allowed Range</w:t>
            </w:r>
          </w:p>
        </w:tc>
        <w:tc>
          <w:tcPr>
            <w:tcW w:w="2880" w:type="dxa"/>
          </w:tcPr>
          <w:p w:rsidR="00191450" w:rsidRDefault="00617FBE">
            <w:r>
              <w:t>Voting Parameters (User Input)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Supermajority Approval</w:t>
            </w:r>
          </w:p>
        </w:tc>
        <w:tc>
          <w:tcPr>
            <w:tcW w:w="2880" w:type="dxa"/>
          </w:tcPr>
          <w:p w:rsidR="00191450" w:rsidRDefault="00617FBE">
            <w:r>
              <w:t>67% required for governance changes</w:t>
            </w:r>
          </w:p>
        </w:tc>
        <w:tc>
          <w:tcPr>
            <w:tcW w:w="2880" w:type="dxa"/>
          </w:tcPr>
          <w:p w:rsidR="00191450" w:rsidRDefault="00617FBE">
            <w:r>
              <w:t xml:space="preserve">Prevents </w:t>
            </w:r>
            <w:r>
              <w:t>small groups from altering governance rules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6-Month Cooldown for Governance Changes</w:t>
            </w:r>
          </w:p>
        </w:tc>
        <w:tc>
          <w:tcPr>
            <w:tcW w:w="2880" w:type="dxa"/>
          </w:tcPr>
          <w:p w:rsidR="00191450" w:rsidRDefault="00617FBE">
            <w:r>
              <w:t>Prevents repeated manipulation</w:t>
            </w:r>
          </w:p>
        </w:tc>
        <w:tc>
          <w:tcPr>
            <w:tcW w:w="2880" w:type="dxa"/>
          </w:tcPr>
          <w:p w:rsidR="00191450" w:rsidRDefault="00617FBE">
            <w:r>
              <w:t>Ensures long-term stability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Two-Round Voting for Major Governance Changes</w:t>
            </w:r>
          </w:p>
        </w:tc>
        <w:tc>
          <w:tcPr>
            <w:tcW w:w="2880" w:type="dxa"/>
          </w:tcPr>
          <w:p w:rsidR="00191450" w:rsidRDefault="00617FBE">
            <w:r>
              <w:t>Ensures long-term community support</w:t>
            </w:r>
          </w:p>
        </w:tc>
        <w:tc>
          <w:tcPr>
            <w:tcW w:w="2880" w:type="dxa"/>
          </w:tcPr>
          <w:p w:rsidR="00191450" w:rsidRDefault="00617FBE">
            <w:r>
              <w:t>Prevents rushed decisions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t>Mi</w:t>
            </w:r>
            <w:r>
              <w:t xml:space="preserve">nimum Participation </w:t>
            </w:r>
            <w:r>
              <w:lastRenderedPageBreak/>
              <w:t>Requirement</w:t>
            </w:r>
          </w:p>
        </w:tc>
        <w:tc>
          <w:tcPr>
            <w:tcW w:w="2880" w:type="dxa"/>
          </w:tcPr>
          <w:p w:rsidR="00191450" w:rsidRDefault="00617FBE">
            <w:r>
              <w:lastRenderedPageBreak/>
              <w:t>20% voter turnout required</w:t>
            </w:r>
          </w:p>
        </w:tc>
        <w:tc>
          <w:tcPr>
            <w:tcW w:w="2880" w:type="dxa"/>
          </w:tcPr>
          <w:p w:rsidR="00191450" w:rsidRDefault="00617FBE">
            <w:r>
              <w:t xml:space="preserve">Prevents unnoticed rule </w:t>
            </w:r>
            <w:r>
              <w:lastRenderedPageBreak/>
              <w:t>changes</w:t>
            </w:r>
          </w:p>
        </w:tc>
      </w:tr>
      <w:tr w:rsidR="00191450" w:rsidTr="00392728">
        <w:tc>
          <w:tcPr>
            <w:tcW w:w="2880" w:type="dxa"/>
          </w:tcPr>
          <w:p w:rsidR="00191450" w:rsidRDefault="00617FBE">
            <w:r>
              <w:lastRenderedPageBreak/>
              <w:t>Immutable Core Rules</w:t>
            </w:r>
          </w:p>
        </w:tc>
        <w:tc>
          <w:tcPr>
            <w:tcW w:w="2880" w:type="dxa"/>
          </w:tcPr>
          <w:p w:rsidR="00191450" w:rsidRDefault="00617FBE">
            <w:r>
              <w:t>Certain rules cannot be changed</w:t>
            </w:r>
          </w:p>
        </w:tc>
        <w:tc>
          <w:tcPr>
            <w:tcW w:w="2880" w:type="dxa"/>
          </w:tcPr>
          <w:p w:rsidR="00191450" w:rsidRDefault="00617FBE">
            <w:r>
              <w:t>Protects fundamental fund mechanics</w:t>
            </w:r>
          </w:p>
        </w:tc>
      </w:tr>
    </w:tbl>
    <w:p w:rsidR="00191450" w:rsidRDefault="00617FBE">
      <w:pPr>
        <w:pStyle w:val="Heading2"/>
      </w:pPr>
      <w:r>
        <w:t>Conclusion</w:t>
      </w:r>
    </w:p>
    <w:p w:rsidR="00191450" w:rsidRDefault="00617FBE">
      <w:r>
        <w:t>This governance framework ensures full decentralization while k</w:t>
      </w:r>
      <w:r>
        <w:t>eeping protection mechanisms in place to prevent manipulation.</w:t>
      </w:r>
      <w:r>
        <w:br/>
      </w:r>
      <w:r>
        <w:br/>
        <w:t>The community has complete control over fund mechanics within strict boundaries, allowing dynamic but secure governance.</w:t>
      </w:r>
      <w:r>
        <w:br/>
      </w:r>
      <w:r>
        <w:br/>
        <w:t>The next chapter will outline how voting works on-chain, how proposals</w:t>
      </w:r>
      <w:r>
        <w:t xml:space="preserve"> are submitted, and how governance tokens interact with the voting system.</w:t>
      </w:r>
    </w:p>
    <w:sectPr w:rsidR="00191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873FA"/>
    <w:multiLevelType w:val="multilevel"/>
    <w:tmpl w:val="2248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B039F"/>
    <w:multiLevelType w:val="multilevel"/>
    <w:tmpl w:val="4F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1450"/>
    <w:rsid w:val="0027191D"/>
    <w:rsid w:val="0029639D"/>
    <w:rsid w:val="002A27F0"/>
    <w:rsid w:val="00326F90"/>
    <w:rsid w:val="00392728"/>
    <w:rsid w:val="00617FBE"/>
    <w:rsid w:val="006C1556"/>
    <w:rsid w:val="00A72F83"/>
    <w:rsid w:val="00AA1D8D"/>
    <w:rsid w:val="00B47730"/>
    <w:rsid w:val="00C80B4C"/>
    <w:rsid w:val="00CB0664"/>
    <w:rsid w:val="00E97D8E"/>
    <w:rsid w:val="00F912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BA15E"/>
  <w14:defaultImageDpi w14:val="300"/>
  <w15:docId w15:val="{E8E1EE4D-4EE6-4144-9456-AECA3DC3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946DA-54CB-4F94-A251-DF658036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Cox</cp:lastModifiedBy>
  <cp:revision>9</cp:revision>
  <dcterms:created xsi:type="dcterms:W3CDTF">2013-12-23T23:15:00Z</dcterms:created>
  <dcterms:modified xsi:type="dcterms:W3CDTF">2025-02-28T00:04:00Z</dcterms:modified>
  <cp:category/>
</cp:coreProperties>
</file>