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2018 AAP/EFP World Workshop Classification of Periodontitis</w:t>
      </w:r>
    </w:p>
    <w:p>
      <w:pPr>
        <w:jc w:val="center"/>
      </w:pPr>
      <w:r>
        <w:rPr>
          <w:i/>
          <w:iCs/>
          <w:sz w:val="22"/>
          <w:szCs w:val="22"/>
        </w:rPr>
        <w:t xml:space="preserve">Staging (I–IV) and Grading (A–C) Diagnostic Summary</w:t>
      </w:r>
    </w:p>
    <w:p>
      <w:pPr>
        <w:jc w:val="center"/>
      </w:pPr>
      <w:r>
        <w:rPr>
          <w:color w:val="888888"/>
          <w:sz w:val="18"/>
          <w:szCs w:val="18"/>
        </w:rPr>
        <w:t xml:space="preserve">Test Corpus Document — For Ingestion Pipeline Evaluation Only, Not for Clinical Use</w:t>
      </w:r>
    </w:p>
    <w:p>
      <w:pPr>
        <w:pStyle w:val="Heading1"/>
        <w:spacing w:before="300"/>
      </w:pPr>
      <w:r>
        <w:t xml:space="preserve">1. Overview</w:t>
      </w:r>
    </w:p>
    <w:p>
      <w:r>
        <w:t xml:space="preserve">The 2018 classification, developed jointly by the American Academy of Periodontology (AAP) and the European Federation of Periodontology (EFP), replaced the 1999 chronic/aggressive periodontitis dichotomy. A periodontitis case is first identified, then characterized using a multidimensional staging and grading matrix: Staging reflects severity, extent, and management complexity at presentation; Grading reflects biological features of the disease including historical rate of progression, risk factors, and anticipated response to treatment.</w:t>
      </w:r>
    </w:p>
    <w:p>
      <w:pPr>
        <w:pStyle w:val="Heading1"/>
        <w:spacing w:before="300"/>
      </w:pPr>
      <w:r>
        <w:t xml:space="preserve">2. Staging — Severity, Extent, and Complexity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400"/>
        <w:gridCol w:w="3480"/>
      </w:tblGrid>
      <w:tr>
        <w:trPr>
          <w:tblHeader/>
        </w:trPr>
        <w:tc>
          <w:tcPr>
            <w:tcW w:type="dxa" w:w="1600"/>
            <w:shd w:fill="2E4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600"/>
            <w:shd w:fill="2E4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Interdental CAL at site of greatest loss</w:t>
            </w:r>
          </w:p>
        </w:tc>
        <w:tc>
          <w:tcPr>
            <w:tcW w:type="dxa" w:w="2400"/>
            <w:shd w:fill="2E4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Radiographic bone loss (RBL)</w:t>
            </w:r>
          </w:p>
        </w:tc>
        <w:tc>
          <w:tcPr>
            <w:tcW w:type="dxa" w:w="3480"/>
            <w:shd w:fill="2E4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Additional complexity / tooth loss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 — Initial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1–2 mm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Coronal third of root (&lt; 15%)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Max. probing depth ≤ 4 mm; mostly horizontal bone loss; no tooth loss due to periodontitis</w:t>
            </w:r>
          </w:p>
        </w:tc>
      </w:tr>
      <w:tr>
        <w:tc>
          <w:tcPr>
            <w:tcW w:type="dxa" w:w="1600"/>
            <w:shd w:fill="ED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II — Moderate</w:t>
            </w:r>
          </w:p>
        </w:tc>
        <w:tc>
          <w:tcPr>
            <w:tcW w:type="dxa" w:w="2600"/>
            <w:shd w:fill="ED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3–4 mm</w:t>
            </w:r>
          </w:p>
        </w:tc>
        <w:tc>
          <w:tcPr>
            <w:tcW w:type="dxa" w:w="2400"/>
            <w:shd w:fill="ED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Coronal third of root (15–33%)</w:t>
            </w:r>
          </w:p>
        </w:tc>
        <w:tc>
          <w:tcPr>
            <w:tcW w:type="dxa" w:w="3480"/>
            <w:shd w:fill="ED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Max. probing depth ≤ 5 mm; mostly horizontal bone loss; no tooth loss due to periodontitis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III — Severe (potential for additional tooth loss)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5 mm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Extending to middle third of root or beyond</w:t>
            </w:r>
          </w:p>
        </w:tc>
        <w:tc>
          <w:tcPr>
            <w:tcW w:type="dxa" w:w="34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Probing depth ≥ 6 mm; vertical bone loss ≥ 3 mm; Class II/III furcation; moderate ridge defects; tooth loss due to periodontitis ≤ 4 teeth</w:t>
            </w:r>
          </w:p>
        </w:tc>
      </w:tr>
      <w:tr>
        <w:tc>
          <w:tcPr>
            <w:tcW w:type="dxa" w:w="1600"/>
            <w:shd w:fill="ED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IV — Advanced (extensive tooth loss, potential loss of dentition)</w:t>
            </w:r>
          </w:p>
        </w:tc>
        <w:tc>
          <w:tcPr>
            <w:tcW w:type="dxa" w:w="2600"/>
            <w:shd w:fill="ED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5 mm</w:t>
            </w:r>
          </w:p>
        </w:tc>
        <w:tc>
          <w:tcPr>
            <w:tcW w:type="dxa" w:w="2400"/>
            <w:shd w:fill="ED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Extending to middle third of root or beyond</w:t>
            </w:r>
          </w:p>
        </w:tc>
        <w:tc>
          <w:tcPr>
            <w:tcW w:type="dxa" w:w="3480"/>
            <w:shd w:fill="ED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Need for complex rehabilitation due to masticatory dysfunction, secondary occlusal trauma (mobility ≥ degree 2), bite collapse/drifting/flaring; tooth loss due to periodontitis ≥ 5 teeth</w:t>
            </w:r>
          </w:p>
        </w:tc>
      </w:tr>
    </w:tbl>
    <w:p>
      <w:pPr>
        <w:spacing w:before="150"/>
      </w:pPr>
      <w:r>
        <w:rPr>
          <w:i/>
          <w:iCs/>
          <w:sz w:val="18"/>
          <w:szCs w:val="18"/>
        </w:rPr>
        <w:t xml:space="preserve">Extent modifier applied after staging: Localized (&lt; 30% of teeth involved), Generalized (≥ 30% of teeth involved), or Molar-Incisor pattern.</w:t>
      </w:r>
    </w:p>
    <w:p>
      <w:pPr>
        <w:pStyle w:val="Heading1"/>
        <w:spacing w:before="300"/>
      </w:pPr>
      <w:r>
        <w:t xml:space="preserve">3. Grading — Risk of Progression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800"/>
        <w:gridCol w:w="2680"/>
      </w:tblGrid>
      <w:tr>
        <w:trPr>
          <w:tblHeader/>
        </w:trPr>
        <w:tc>
          <w:tcPr>
            <w:tcW w:type="dxa" w:w="1600"/>
            <w:shd w:fill="2E4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3000"/>
            <w:shd w:fill="2E4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Primary criterion (RBL % ÷ age)</w:t>
            </w:r>
          </w:p>
        </w:tc>
        <w:tc>
          <w:tcPr>
            <w:tcW w:type="dxa" w:w="2800"/>
            <w:shd w:fill="2E4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Smoking</w:t>
            </w:r>
          </w:p>
        </w:tc>
        <w:tc>
          <w:tcPr>
            <w:tcW w:type="dxa" w:w="2680"/>
            <w:shd w:fill="2E4D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Diabetes (HbA1c)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— Slow progression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 0.25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Non-smoker</w:t>
            </w:r>
          </w:p>
        </w:tc>
        <w:tc>
          <w:tcPr>
            <w:tcW w:type="dxa" w:w="2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Normoglycemic / no diabetes diagnosis</w:t>
            </w:r>
          </w:p>
        </w:tc>
      </w:tr>
      <w:tr>
        <w:tc>
          <w:tcPr>
            <w:tcW w:type="dxa" w:w="1600"/>
            <w:shd w:fill="ED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 — Moderate progression</w:t>
            </w:r>
          </w:p>
        </w:tc>
        <w:tc>
          <w:tcPr>
            <w:tcW w:type="dxa" w:w="3000"/>
            <w:shd w:fill="ED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0.25 – 1.0</w:t>
            </w:r>
          </w:p>
        </w:tc>
        <w:tc>
          <w:tcPr>
            <w:tcW w:type="dxa" w:w="2800"/>
            <w:shd w:fill="ED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Smoker, &lt; 10 cigarettes/day</w:t>
            </w:r>
          </w:p>
        </w:tc>
        <w:tc>
          <w:tcPr>
            <w:tcW w:type="dxa" w:w="2680"/>
            <w:shd w:fill="EDF2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Diabetic patient with HbA1c &lt; 7.0%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 — Rapid progression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 1.0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Smoker, ≥ 10 cigarettes/day</w:t>
            </w:r>
          </w:p>
        </w:tc>
        <w:tc>
          <w:tcPr>
            <w:tcW w:type="dxa" w:w="2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Diabetic patient with HbA1c ≥ 7.0%</w:t>
            </w:r>
          </w:p>
        </w:tc>
      </w:tr>
    </w:tbl>
    <w:p>
      <w:pPr>
        <w:spacing w:before="150"/>
      </w:pPr>
      <w:r>
        <w:t xml:space="preserve">Grade is initially estimated from indirect evidence (RBL as % of root length, divided by patient age at the most affected tooth) and then shifted upward (never downward) if risk factors such as heavy smoking or poorly controlled diabetes (HbA1c ≥ 7.0%) are present. When direct evidence of progression (e.g., serial radiographs) is unavailable, grade should default to Grade B and be adjusted based on risk factors.</w:t>
      </w:r>
    </w:p>
    <w:p>
      <w:pPr>
        <w:pStyle w:val="Heading1"/>
        <w:spacing w:before="300"/>
      </w:pPr>
      <w:r>
        <w:t xml:space="preserve">4. Diagnostic Statement Format</w:t>
      </w:r>
    </w:p>
    <w:p>
      <w:r>
        <w:t xml:space="preserve">A complete periodontitis diagnosis is documented as: Stage [I–IV], Grade [A–C], [Localized/Generalized/Molar-Incisor pattern] Periodontitis. Example: "Stage III, Grade C, Generalized Periodontitis" describes a case with ≥ 5 mm CAL, bone loss to the middle third of the root or beyond, up to 4 teeth lost to periodontitis, affecting ≥ 30% of teeth, with a rapid rate of progression (e.g., in a patient who is a heavy smoker or has an HbA1c ≥ 7.0%).</w:t>
      </w:r>
    </w:p>
    <w:p>
      <w:pPr>
        <w:pStyle w:val="Heading1"/>
        <w:spacing w:before="300"/>
      </w:pPr>
      <w:r>
        <w:t xml:space="preserve">5. Steps for Determining Stage and Grade</w:t>
      </w:r>
    </w:p>
    <w:p>
      <w:pPr>
        <w:pStyle w:val="ListParagraph"/>
        <w:numPr>
          <w:ilvl w:val="0"/>
          <w:numId w:val="2"/>
        </w:numPr>
      </w:pPr>
      <w:r>
        <w:t xml:space="preserve">Step 1: Identify a periodontitis case (interdental CAL detectable at ≥ 2 non-adjacent teeth, or buccal/oral CAL ≥ 3mm with pocketing &gt; 3mm at ≥ 2 teeth, not attributable to non-periodontal causes).</w:t>
      </w:r>
    </w:p>
    <w:p>
      <w:pPr>
        <w:pStyle w:val="ListParagraph"/>
        <w:numPr>
          <w:ilvl w:val="0"/>
          <w:numId w:val="2"/>
        </w:numPr>
      </w:pPr>
      <w:r>
        <w:t xml:space="preserve">Step 2: Establish Stage using the highest severity criterion met (CAL, RBL, tooth loss) plus complexity factors.</w:t>
      </w:r>
    </w:p>
    <w:p>
      <w:pPr>
        <w:pStyle w:val="ListParagraph"/>
        <w:numPr>
          <w:ilvl w:val="0"/>
          <w:numId w:val="2"/>
        </w:numPr>
      </w:pPr>
      <w:r>
        <w:t xml:space="preserve">Step 3: Establish Grade using direct evidence of progression when available, or indirect estimate (RBL% ÷ age), then adjust for risk factors (smoking, diabetes/HbA1c).</w:t>
      </w:r>
    </w:p>
    <w:p>
      <w:pPr>
        <w:pStyle w:val="ListParagraph"/>
        <w:numPr>
          <w:ilvl w:val="0"/>
          <w:numId w:val="2"/>
        </w:numPr>
      </w:pPr>
      <w:r>
        <w:t xml:space="preserve">Step 4: Apply extent descriptor (Localized / Generalized / Molar-Incisor pattern).</w:t>
      </w:r>
    </w:p>
    <w:p>
      <w:pPr>
        <w:pStyle w:val="ListParagraph"/>
        <w:numPr>
          <w:ilvl w:val="0"/>
          <w:numId w:val="2"/>
        </w:numPr>
      </w:pPr>
      <w:r>
        <w:t xml:space="preserve">Step 5: Document full diagnostic statement in the chart and treatment plan.</w:t>
      </w:r>
    </w:p>
    <w:p>
      <w:pPr>
        <w:spacing w:before="300"/>
      </w:pPr>
      <w:r>
        <w:rPr>
          <w:color w:val="888888"/>
          <w:sz w:val="16"/>
          <w:szCs w:val="16"/>
        </w:rPr>
        <w:t xml:space="preserve">Reference: Tonetti MS, Greenwell H, Kornman KS. Staging and grading of periodontitis: Framework and proposal of a new classification and case definition. J Periodontol. 2018;89(Suppl 1):S159-S172. Caton JG, Armitage G, Berglundh T, et al. A new classification scheme for periodontal and peri-implant diseases and conditions. J Clin Periodontol. 2018;45(Suppl 20):S1-S8.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2026-08-17T08:34:10.287Z</dcterms:created>
  <dcterms:modified xsi:type="dcterms:W3CDTF">2026-08-17T08:34:10.288Z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