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Dentists: Be Antibiotics Aware</w:t>
      </w:r>
    </w:p>
    <w:p>
      <w:pPr>
        <w:jc w:val="center"/>
      </w:pPr>
      <w:r>
        <w:rPr>
          <w:i/>
          <w:iCs/>
          <w:sz w:val="22"/>
          <w:szCs w:val="22"/>
        </w:rPr>
        <w:t xml:space="preserve">CDC / ADA Dental Antibiotic Stewardship Factsheet &amp; Chairside Checklist</w:t>
      </w:r>
    </w:p>
    <w:p>
      <w:pPr>
        <w:jc w:val="center"/>
      </w:pPr>
      <w:r>
        <w:rPr>
          <w:color w:val="888888"/>
          <w:sz w:val="18"/>
          <w:szCs w:val="18"/>
        </w:rPr>
        <w:t xml:space="preserve">Test Corpus Document — For Ingestion Pipeline Evaluation Only, Not for Clinical Use</w:t>
      </w:r>
    </w:p>
    <w:p>
      <w:pPr>
        <w:pStyle w:val="Heading1"/>
        <w:spacing w:before="300"/>
      </w:pPr>
      <w:r>
        <w:t xml:space="preserve">1. Background</w:t>
      </w:r>
    </w:p>
    <w:p>
      <w:r>
        <w:t xml:space="preserve">Dentists are among the highest prescribers of antibiotics in outpatient settings in the United States. Studies estimate that 30%–85% of dental antibiotic prescriptions for urgent pulpal and periapical conditions are suboptimal or not indicated. This factsheet condenses CDC and ADA guidance so that front-desk triage and clinical staff can quickly determine whether a patient's presenting condition warrants systemic antibiotics or definitive dental treatment alone.</w:t>
      </w:r>
    </w:p>
    <w:p>
      <w:pPr>
        <w:pStyle w:val="Heading1"/>
        <w:spacing w:before="300"/>
      </w:pPr>
      <w:r>
        <w:t xml:space="preserve">2. Decision Table — Pulpal &amp; Periapical Conditions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3680"/>
      </w:tblGrid>
      <w:tr>
        <w:trPr>
          <w:tblHeader/>
        </w:trPr>
        <w:tc>
          <w:tcPr>
            <w:tcW w:type="dxa" w:w="3200"/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Antibiotics
Indicated?</w:t>
            </w:r>
          </w:p>
        </w:tc>
        <w:tc>
          <w:tcPr>
            <w:tcW w:type="dxa" w:w="1600"/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Systemic
Involvement?</w:t>
            </w:r>
          </w:p>
        </w:tc>
        <w:tc>
          <w:tcPr>
            <w:tcW w:type="dxa" w:w="3680"/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Symptomatic irreversible pulpitis (SIP), with or without symptomatic apical periodontitis (SAP)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Pulpotomy, pulpectomy, or non-surgical root canal treatment. Do not prescribe antibiotics.</w:t>
            </w:r>
          </w:p>
        </w:tc>
      </w:tr>
      <w:tr>
        <w:tc>
          <w:tcPr>
            <w:tcW w:type="dxa" w:w="32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Pulp necrosis with symptomatic apical periodontitis (PN-SAP)</w:t>
            </w:r>
          </w:p>
        </w:tc>
        <w:tc>
          <w:tcPr>
            <w:tcW w:type="dxa" w:w="16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No*</w:t>
            </w:r>
          </w:p>
        </w:tc>
        <w:tc>
          <w:tcPr>
            <w:tcW w:type="dxa" w:w="16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68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Definitive conservative dental treatment (DCDT). *If DCDT is not immediately feasible, consider a delayed antibiotic prescription only if symptoms worsen.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Pulp necrosis with localized acute apical abscess (PN-LAAA), no systemic involvement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36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Incision and drainage plus DCDT (pulpectomy, root canal treatment, or extraction). Antibiotics not routinely indicated.</w:t>
            </w:r>
          </w:p>
        </w:tc>
      </w:tr>
      <w:tr>
        <w:tc>
          <w:tcPr>
            <w:tcW w:type="dxa" w:w="32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Pulp necrosis with localized acute apical abscess (PN-LAAA), with systemic involvement (fever, malaise, lymphadenopathy, trismus, cellulitis)</w:t>
            </w:r>
          </w:p>
        </w:tc>
        <w:tc>
          <w:tcPr>
            <w:tcW w:type="dxa" w:w="16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368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Urgent DCDT AND systemic antibiotics. Refer urgently if airway or fascial space involvement suspected.</w:t>
            </w:r>
          </w:p>
        </w:tc>
      </w:tr>
    </w:tbl>
    <w:p>
      <w:pPr>
        <w:pStyle w:val="Heading1"/>
        <w:spacing w:before="300"/>
      </w:pPr>
      <w:r>
        <w:t xml:space="preserve">3. ADA-Recommended Regimens When Antibiotics ARE Indicated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280"/>
      </w:tblGrid>
      <w:tr>
        <w:trPr>
          <w:tblHeader/>
        </w:trPr>
        <w:tc>
          <w:tcPr>
            <w:tcW w:type="dxa" w:w="3400"/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400"/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Adult Dose</w:t>
            </w:r>
          </w:p>
        </w:tc>
        <w:tc>
          <w:tcPr>
            <w:tcW w:type="dxa" w:w="3280"/>
            <w:shd w:fill="B222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Amoxicillin (first line)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mg, 3 times per day</w:t>
            </w:r>
          </w:p>
        </w:tc>
        <w:tc>
          <w:tcPr>
            <w:tcW w:type="dxa" w:w="3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3–7 days</w:t>
            </w:r>
          </w:p>
        </w:tc>
      </w:tr>
      <w:tr>
        <w:tc>
          <w:tcPr>
            <w:tcW w:type="dxa" w:w="34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Penicillin V potassium</w:t>
            </w:r>
          </w:p>
        </w:tc>
        <w:tc>
          <w:tcPr>
            <w:tcW w:type="dxa" w:w="34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mg, 4 times per day</w:t>
            </w:r>
          </w:p>
        </w:tc>
        <w:tc>
          <w:tcPr>
            <w:tcW w:type="dxa" w:w="328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3–7 days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Amoxicillin/clavulanate (if no response after 48–72 hrs)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500/125 mg, 3 times per day</w:t>
            </w:r>
          </w:p>
        </w:tc>
        <w:tc>
          <w:tcPr>
            <w:tcW w:type="dxa" w:w="3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3–7 days</w:t>
            </w:r>
          </w:p>
        </w:tc>
      </w:tr>
      <w:tr>
        <w:tc>
          <w:tcPr>
            <w:tcW w:type="dxa" w:w="34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Penicillin-allergic: Azithromycin</w:t>
            </w:r>
          </w:p>
        </w:tc>
        <w:tc>
          <w:tcPr>
            <w:tcW w:type="dxa" w:w="34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mg day 1, then 250 mg</w:t>
            </w:r>
          </w:p>
        </w:tc>
        <w:tc>
          <w:tcPr>
            <w:tcW w:type="dxa" w:w="328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additional days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Penicillin-allergic: Clindamycin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 mg, 4 times per day</w:t>
            </w:r>
          </w:p>
        </w:tc>
        <w:tc>
          <w:tcPr>
            <w:tcW w:type="dxa" w:w="3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3–7 days</w:t>
            </w:r>
          </w:p>
        </w:tc>
      </w:tr>
      <w:tr>
        <w:tc>
          <w:tcPr>
            <w:tcW w:type="dxa" w:w="34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Penicillin-allergic: Metronidazole (adjunct only, not monotherapy)</w:t>
            </w:r>
          </w:p>
        </w:tc>
        <w:tc>
          <w:tcPr>
            <w:tcW w:type="dxa" w:w="340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 mg, 3 times per day</w:t>
            </w:r>
          </w:p>
        </w:tc>
        <w:tc>
          <w:tcPr>
            <w:tcW w:type="dxa" w:w="3280"/>
            <w:shd w:fill="F6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3–7 days</w:t>
            </w:r>
          </w:p>
        </w:tc>
      </w:tr>
    </w:tbl>
    <w:p>
      <w:pPr>
        <w:spacing w:before="150"/>
      </w:pPr>
      <w:r>
        <w:rPr>
          <w:i/>
          <w:iCs/>
          <w:sz w:val="18"/>
          <w:szCs w:val="18"/>
        </w:rPr>
        <w:t xml:space="preserve">Follow-up: re-evaluate at 3 days to confirm resolution of systemic signs/symptoms; escalate to urgent referral (ED or oral &amp; maxillofacial surgery) if signs worsen, airway compromise develops, or the patient is immunocompromised.</w:t>
      </w:r>
    </w:p>
    <w:p>
      <w:pPr>
        <w:pStyle w:val="Heading1"/>
        <w:spacing w:before="300"/>
      </w:pPr>
      <w:r>
        <w:t xml:space="preserve">4. Chairside Antibiotic Stewardship Checklist</w:t>
      </w:r>
    </w:p>
    <w:p>
      <w:pPr>
        <w:pStyle w:val="ListParagraph"/>
        <w:numPr>
          <w:ilvl w:val="0"/>
          <w:numId w:val="2"/>
        </w:numPr>
      </w:pPr>
      <w:r>
        <w:t xml:space="preserve">Confirm the diagnosis is pulpal/periapical in origin (not sinus, TMJ, or non-odontogenic).</w:t>
      </w:r>
    </w:p>
    <w:p>
      <w:pPr>
        <w:pStyle w:val="ListParagraph"/>
        <w:numPr>
          <w:ilvl w:val="0"/>
          <w:numId w:val="2"/>
        </w:numPr>
      </w:pPr>
      <w:r>
        <w:t xml:space="preserve">Assess for systemic involvement: fever &gt; 100.4°F (38°C), malaise, lymphadenopathy, trismus, diffuse facial swelling.</w:t>
      </w:r>
    </w:p>
    <w:p>
      <w:pPr>
        <w:pStyle w:val="ListParagraph"/>
        <w:numPr>
          <w:ilvl w:val="0"/>
          <w:numId w:val="2"/>
        </w:numPr>
      </w:pPr>
      <w:r>
        <w:t xml:space="preserve">If NO systemic involvement: proceed to definitive dental treatment; do not prescribe antibiotics as a substitute.</w:t>
      </w:r>
    </w:p>
    <w:p>
      <w:pPr>
        <w:pStyle w:val="ListParagraph"/>
        <w:numPr>
          <w:ilvl w:val="0"/>
          <w:numId w:val="2"/>
        </w:numPr>
      </w:pPr>
      <w:r>
        <w:t xml:space="preserve">If YES systemic involvement or spreading infection: prescribe first-line agent, arrange urgent DCDT, and schedule 3-day follow-up.</w:t>
      </w:r>
    </w:p>
    <w:p>
      <w:pPr>
        <w:pStyle w:val="ListParagraph"/>
        <w:numPr>
          <w:ilvl w:val="0"/>
          <w:numId w:val="2"/>
        </w:numPr>
      </w:pPr>
      <w:r>
        <w:t xml:space="preserve">Document penicillin allergy status and select alternative regimen accordingly.</w:t>
      </w:r>
    </w:p>
    <w:p>
      <w:pPr>
        <w:pStyle w:val="ListParagraph"/>
        <w:numPr>
          <w:ilvl w:val="0"/>
          <w:numId w:val="2"/>
        </w:numPr>
      </w:pPr>
      <w:r>
        <w:t xml:space="preserve">Counsel patient that antibiotics do not resolve dental pain and that definitive treatment remains necessary.</w:t>
      </w:r>
    </w:p>
    <w:p>
      <w:pPr>
        <w:pStyle w:val="ListParagraph"/>
        <w:numPr>
          <w:ilvl w:val="0"/>
          <w:numId w:val="2"/>
        </w:numPr>
      </w:pPr>
      <w:r>
        <w:t xml:space="preserve">Avoid prescribing broad-spectrum agents (e.g., fluoroquinolones) for routine odontogenic infections.</w:t>
      </w:r>
    </w:p>
    <w:p>
      <w:pPr>
        <w:spacing w:before="300"/>
      </w:pPr>
      <w:r>
        <w:rPr>
          <w:color w:val="888888"/>
          <w:sz w:val="16"/>
          <w:szCs w:val="16"/>
        </w:rPr>
        <w:t xml:space="preserve">Source: CDC Division of Oral Health, "Dentists: Be Antibiotics Aware — Treating Patients with Dental Pain and Swelling"; American Dental Association Clinical Practice Guideline on Antibiotic Use for the Urgent Management of Pulpal- and Periapical-Related Dental Pain and Intraoral Swelling (2019).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2026-08-17T08:33:02.662Z</dcterms:created>
  <dcterms:modified xsi:type="dcterms:W3CDTF">2026-08-17T08:33:02.682Z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