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Hospital Emergency Department — Dental Triage Protocol</w:t>
      </w:r>
    </w:p>
    <w:p>
      <w:pPr>
        <w:jc w:val="center"/>
      </w:pPr>
      <w:r>
        <w:rPr>
          <w:i/>
          <w:iCs/>
          <w:sz w:val="22"/>
          <w:szCs w:val="22"/>
        </w:rPr>
        <w:t xml:space="preserve">Odontogenic Infection Red-Flag Recognition &amp; Escalation Pathway</w:t>
      </w:r>
    </w:p>
    <w:p>
      <w:pPr>
        <w:jc w:val="center"/>
      </w:pPr>
      <w:r>
        <w:rPr>
          <w:color w:val="888888"/>
          <w:sz w:val="18"/>
          <w:szCs w:val="18"/>
        </w:rPr>
        <w:t xml:space="preserve">Test Corpus Document — For Ingestion Pipeline Evaluation Only, Not for Clinical Use</w:t>
      </w:r>
    </w:p>
    <w:p>
      <w:pPr>
        <w:pStyle w:val="Heading1"/>
        <w:spacing w:before="300"/>
      </w:pPr>
      <w:r>
        <w:t xml:space="preserve">1. Purpose</w:t>
      </w:r>
    </w:p>
    <w:p>
      <w:r>
        <w:t xml:space="preserve">Most odontogenic infections presenting to the emergency department are localized and low-risk. A small subset, however, represent airway or intracranial emergencies requiring immediate escalation to oral &amp; maxillofacial surgery (OMFS), otolaryngology, or critical care. This protocol standardizes recognition of red-flag presentations at triage.</w:t>
      </w:r>
    </w:p>
    <w:p>
      <w:pPr>
        <w:pStyle w:val="Heading1"/>
        <w:spacing w:before="300"/>
      </w:pPr>
      <w:r>
        <w:t xml:space="preserve">2. Red-Flag Conditions Requiring Immediate Escalation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80"/>
      </w:tblGrid>
      <w:tr>
        <w:trPr>
          <w:tblHeader/>
        </w:trPr>
        <w:tc>
          <w:tcPr>
            <w:tcW w:type="dxa" w:w="2400"/>
            <w:shd w:fill="8B0000" w:val="clear"/>
            <w:tcMar>
              <w:top w:type="dxa" w:w="80"/>
              <w:left w:type="dxa" w:w="100"/>
              <w:bottom w:type="dxa" w:w="80"/>
              <w:right w:type="dxa" w:w="100"/>
            </w:tcMar>
          </w:tcPr>
          <w:p>
            <w:r>
              <w:rPr>
                <w:b/>
                <w:bCs/>
                <w:color w:val="FFFFFF"/>
                <w:sz w:val="18"/>
                <w:szCs w:val="18"/>
              </w:rPr>
              <w:t xml:space="preserve">Condition</w:t>
            </w:r>
          </w:p>
        </w:tc>
        <w:tc>
          <w:tcPr>
            <w:tcW w:type="dxa" w:w="4200"/>
            <w:shd w:fill="8B0000" w:val="clear"/>
            <w:tcMar>
              <w:top w:type="dxa" w:w="80"/>
              <w:left w:type="dxa" w:w="100"/>
              <w:bottom w:type="dxa" w:w="80"/>
              <w:right w:type="dxa" w:w="100"/>
            </w:tcMar>
          </w:tcPr>
          <w:p>
            <w:r>
              <w:rPr>
                <w:b/>
                <w:bCs/>
                <w:color w:val="FFFFFF"/>
                <w:sz w:val="18"/>
                <w:szCs w:val="18"/>
              </w:rPr>
              <w:t xml:space="preserve">Key Findings</w:t>
            </w:r>
          </w:p>
        </w:tc>
        <w:tc>
          <w:tcPr>
            <w:tcW w:type="dxa" w:w="3480"/>
            <w:shd w:fill="8B0000" w:val="clear"/>
            <w:tcMar>
              <w:top w:type="dxa" w:w="80"/>
              <w:left w:type="dxa" w:w="100"/>
              <w:bottom w:type="dxa" w:w="80"/>
              <w:right w:type="dxa" w:w="100"/>
            </w:tcMar>
          </w:tcPr>
          <w:p>
            <w:r>
              <w:rPr>
                <w:b/>
                <w:bCs/>
                <w:color w:val="FFFFFF"/>
                <w:sz w:val="18"/>
                <w:szCs w:val="18"/>
              </w:rPr>
              <w:t xml:space="preserve">Immediate Action</w:t>
            </w:r>
          </w:p>
        </w:tc>
      </w:tr>
      <w:tr>
        <w:tc>
          <w:tcPr>
            <w:tcW w:type="dxa" w:w="2400"/>
            <w:shd w:fill="FFFFFF" w:val="clear"/>
            <w:tcMar>
              <w:top w:type="dxa" w:w="80"/>
              <w:left w:type="dxa" w:w="100"/>
              <w:bottom w:type="dxa" w:w="80"/>
              <w:right w:type="dxa" w:w="100"/>
            </w:tcMar>
          </w:tcPr>
          <w:p>
            <w:r>
              <w:rPr>
                <w:b w:val="false"/>
                <w:bCs w:val="false"/>
                <w:sz w:val="18"/>
                <w:szCs w:val="18"/>
              </w:rPr>
              <w:t xml:space="preserve">Ludwig's angina</w:t>
            </w:r>
          </w:p>
        </w:tc>
        <w:tc>
          <w:tcPr>
            <w:tcW w:type="dxa" w:w="4200"/>
            <w:shd w:fill="FFFFFF" w:val="clear"/>
            <w:tcMar>
              <w:top w:type="dxa" w:w="80"/>
              <w:left w:type="dxa" w:w="100"/>
              <w:bottom w:type="dxa" w:w="80"/>
              <w:right w:type="dxa" w:w="100"/>
            </w:tcMar>
          </w:tcPr>
          <w:p>
            <w:r>
              <w:rPr>
                <w:b w:val="false"/>
                <w:bCs w:val="false"/>
                <w:sz w:val="18"/>
                <w:szCs w:val="18"/>
              </w:rPr>
              <w:t xml:space="preserve">Bilateral, rapidly spreading, brawny ("woody") induration of submandibular, sublingual, and submental spaces; tongue elevation/displacement; drooling; muffled "hot potato" voice; stridor</w:t>
            </w:r>
          </w:p>
        </w:tc>
        <w:tc>
          <w:tcPr>
            <w:tcW w:type="dxa" w:w="3480"/>
            <w:shd w:fill="FFFFFF" w:val="clear"/>
            <w:tcMar>
              <w:top w:type="dxa" w:w="80"/>
              <w:left w:type="dxa" w:w="100"/>
              <w:bottom w:type="dxa" w:w="80"/>
              <w:right w:type="dxa" w:w="100"/>
            </w:tcMar>
          </w:tcPr>
          <w:p>
            <w:r>
              <w:rPr>
                <w:b w:val="false"/>
                <w:bCs w:val="false"/>
                <w:sz w:val="18"/>
                <w:szCs w:val="18"/>
              </w:rPr>
              <w:t xml:space="preserve">Airway alert — anesthesia/ENT/OMFS immediately; prepare for possible awake fiberoptic intubation or surgical airway; IV broad-spectrum antibiotics; do NOT attempt blind intubation or sedation that could precipitate airway obstruction</w:t>
            </w:r>
          </w:p>
        </w:tc>
      </w:tr>
      <w:tr>
        <w:tc>
          <w:tcPr>
            <w:tcW w:type="dxa" w:w="2400"/>
            <w:shd w:fill="F6EAEA" w:val="clear"/>
            <w:tcMar>
              <w:top w:type="dxa" w:w="80"/>
              <w:left w:type="dxa" w:w="100"/>
              <w:bottom w:type="dxa" w:w="80"/>
              <w:right w:type="dxa" w:w="100"/>
            </w:tcMar>
          </w:tcPr>
          <w:p>
            <w:r>
              <w:rPr>
                <w:b w:val="false"/>
                <w:bCs w:val="false"/>
                <w:sz w:val="18"/>
                <w:szCs w:val="18"/>
              </w:rPr>
              <w:t xml:space="preserve">Cavernous sinus thrombosis</w:t>
            </w:r>
          </w:p>
        </w:tc>
        <w:tc>
          <w:tcPr>
            <w:tcW w:type="dxa" w:w="4200"/>
            <w:shd w:fill="F6EAEA" w:val="clear"/>
            <w:tcMar>
              <w:top w:type="dxa" w:w="80"/>
              <w:left w:type="dxa" w:w="100"/>
              <w:bottom w:type="dxa" w:w="80"/>
              <w:right w:type="dxa" w:w="100"/>
            </w:tcMar>
          </w:tcPr>
          <w:p>
            <w:r>
              <w:rPr>
                <w:b w:val="false"/>
                <w:bCs w:val="false"/>
                <w:sz w:val="18"/>
                <w:szCs w:val="18"/>
              </w:rPr>
              <w:t xml:space="preserve">Usually secondary to maxillary/midface infection; proptosis, periorbital edema, chemosis, ophthalmoplegia (CN III, IV, VI palsy), severe headache, fever, altered mental status; may progress to bilateral eye involvement</w:t>
            </w:r>
          </w:p>
        </w:tc>
        <w:tc>
          <w:tcPr>
            <w:tcW w:type="dxa" w:w="3480"/>
            <w:shd w:fill="F6EAEA" w:val="clear"/>
            <w:tcMar>
              <w:top w:type="dxa" w:w="80"/>
              <w:left w:type="dxa" w:w="100"/>
              <w:bottom w:type="dxa" w:w="80"/>
              <w:right w:type="dxa" w:w="100"/>
            </w:tcMar>
          </w:tcPr>
          <w:p>
            <w:r>
              <w:rPr>
                <w:b w:val="false"/>
                <w:bCs w:val="false"/>
                <w:sz w:val="18"/>
                <w:szCs w:val="18"/>
              </w:rPr>
              <w:t xml:space="preserve">Emergent neurology/OMFS/ophthalmology consult; contrast-enhanced CT/MRV; IV broad-spectrum antibiotics and anticoagulation per neurology; ICU-level monitoring</w:t>
            </w:r>
          </w:p>
        </w:tc>
      </w:tr>
      <w:tr>
        <w:tc>
          <w:tcPr>
            <w:tcW w:type="dxa" w:w="2400"/>
            <w:shd w:fill="FFFFFF" w:val="clear"/>
            <w:tcMar>
              <w:top w:type="dxa" w:w="80"/>
              <w:left w:type="dxa" w:w="100"/>
              <w:bottom w:type="dxa" w:w="80"/>
              <w:right w:type="dxa" w:w="100"/>
            </w:tcMar>
          </w:tcPr>
          <w:p>
            <w:r>
              <w:rPr>
                <w:b w:val="false"/>
                <w:bCs w:val="false"/>
                <w:sz w:val="18"/>
                <w:szCs w:val="18"/>
              </w:rPr>
              <w:t xml:space="preserve">Descending necrotizing mediastinitis</w:t>
            </w:r>
          </w:p>
        </w:tc>
        <w:tc>
          <w:tcPr>
            <w:tcW w:type="dxa" w:w="4200"/>
            <w:shd w:fill="FFFFFF" w:val="clear"/>
            <w:tcMar>
              <w:top w:type="dxa" w:w="80"/>
              <w:left w:type="dxa" w:w="100"/>
              <w:bottom w:type="dxa" w:w="80"/>
              <w:right w:type="dxa" w:w="100"/>
            </w:tcMar>
          </w:tcPr>
          <w:p>
            <w:r>
              <w:rPr>
                <w:b w:val="false"/>
                <w:bCs w:val="false"/>
                <w:sz w:val="18"/>
                <w:szCs w:val="18"/>
              </w:rPr>
              <w:t xml:space="preserve">Odontogenic/deep neck infection with chest pain, dyspnea, widened mediastinum on imaging, crepitus over chest wall</w:t>
            </w:r>
          </w:p>
        </w:tc>
        <w:tc>
          <w:tcPr>
            <w:tcW w:type="dxa" w:w="3480"/>
            <w:shd w:fill="FFFFFF" w:val="clear"/>
            <w:tcMar>
              <w:top w:type="dxa" w:w="80"/>
              <w:left w:type="dxa" w:w="100"/>
              <w:bottom w:type="dxa" w:w="80"/>
              <w:right w:type="dxa" w:w="100"/>
            </w:tcMar>
          </w:tcPr>
          <w:p>
            <w:r>
              <w:rPr>
                <w:b w:val="false"/>
                <w:bCs w:val="false"/>
                <w:sz w:val="18"/>
                <w:szCs w:val="18"/>
              </w:rPr>
              <w:t xml:space="preserve">Emergent CT chest/neck with contrast; cardiothoracic surgery + OMFS/ENT joint management; ICU admission</w:t>
            </w:r>
          </w:p>
        </w:tc>
      </w:tr>
      <w:tr>
        <w:tc>
          <w:tcPr>
            <w:tcW w:type="dxa" w:w="2400"/>
            <w:shd w:fill="F6EAEA" w:val="clear"/>
            <w:tcMar>
              <w:top w:type="dxa" w:w="80"/>
              <w:left w:type="dxa" w:w="100"/>
              <w:bottom w:type="dxa" w:w="80"/>
              <w:right w:type="dxa" w:w="100"/>
            </w:tcMar>
          </w:tcPr>
          <w:p>
            <w:r>
              <w:rPr>
                <w:b w:val="false"/>
                <w:bCs w:val="false"/>
                <w:sz w:val="18"/>
                <w:szCs w:val="18"/>
              </w:rPr>
              <w:t xml:space="preserve">Airway compromise (any etiology)</w:t>
            </w:r>
          </w:p>
        </w:tc>
        <w:tc>
          <w:tcPr>
            <w:tcW w:type="dxa" w:w="4200"/>
            <w:shd w:fill="F6EAEA" w:val="clear"/>
            <w:tcMar>
              <w:top w:type="dxa" w:w="80"/>
              <w:left w:type="dxa" w:w="100"/>
              <w:bottom w:type="dxa" w:w="80"/>
              <w:right w:type="dxa" w:w="100"/>
            </w:tcMar>
          </w:tcPr>
          <w:p>
            <w:r>
              <w:rPr>
                <w:b w:val="false"/>
                <w:bCs w:val="false"/>
                <w:sz w:val="18"/>
                <w:szCs w:val="18"/>
              </w:rPr>
              <w:t xml:space="preserve">Stridor, drooling, inability to handle secretions, tripod positioning, tongue elevation, trismus limiting exam, oxygen desaturation</w:t>
            </w:r>
          </w:p>
        </w:tc>
        <w:tc>
          <w:tcPr>
            <w:tcW w:type="dxa" w:w="3480"/>
            <w:shd w:fill="F6EAEA" w:val="clear"/>
            <w:tcMar>
              <w:top w:type="dxa" w:w="80"/>
              <w:left w:type="dxa" w:w="100"/>
              <w:bottom w:type="dxa" w:w="80"/>
              <w:right w:type="dxa" w:w="100"/>
            </w:tcMar>
          </w:tcPr>
          <w:p>
            <w:r>
              <w:rPr>
                <w:b w:val="false"/>
                <w:bCs w:val="false"/>
                <w:sz w:val="18"/>
                <w:szCs w:val="18"/>
              </w:rPr>
              <w:t xml:space="preserve">Call anesthesia/ENT/OMFS STAT; do not leave patient unattended; keep upright; prepare for surgical airway kit at bedside</w:t>
            </w:r>
          </w:p>
        </w:tc>
      </w:tr>
    </w:tbl>
    <w:p>
      <w:pPr>
        <w:pStyle w:val="Heading1"/>
        <w:spacing w:before="300"/>
      </w:pPr>
      <w:r>
        <w:t xml:space="preserve">3. Standard Triage Acuity Assignment (ESI-Aligned)</w:t>
      </w:r>
    </w:p>
    <w:p>
      <w:pPr>
        <w:pStyle w:val="ListParagraph"/>
        <w:numPr>
          <w:ilvl w:val="0"/>
          <w:numId w:val="2"/>
        </w:numPr>
      </w:pPr>
      <w:r>
        <w:t xml:space="preserve">ESI 1 (Immediate/Resuscitation): active airway compromise, stridor, inability to swallow secretions, altered mental status with facial/neck infection.</w:t>
      </w:r>
    </w:p>
    <w:p>
      <w:pPr>
        <w:pStyle w:val="ListParagraph"/>
        <w:numPr>
          <w:ilvl w:val="0"/>
          <w:numId w:val="2"/>
        </w:numPr>
      </w:pPr>
      <w:r>
        <w:t xml:space="preserve">ESI 2 (Emergent): rapidly progressing facial/neck swelling without current airway compromise; fever with trismus; suspected Ludwig's angina or deep space infection not yet obstructing the airway.</w:t>
      </w:r>
    </w:p>
    <w:p>
      <w:pPr>
        <w:pStyle w:val="ListParagraph"/>
        <w:numPr>
          <w:ilvl w:val="0"/>
          <w:numId w:val="2"/>
        </w:numPr>
      </w:pPr>
      <w:r>
        <w:t xml:space="preserve">ESI 3 (Urgent): localized facial swelling with systemic signs (fever, malaise) but stable airway and vitals.</w:t>
      </w:r>
    </w:p>
    <w:p>
      <w:pPr>
        <w:pStyle w:val="ListParagraph"/>
        <w:numPr>
          <w:ilvl w:val="0"/>
          <w:numId w:val="2"/>
        </w:numPr>
      </w:pPr>
      <w:r>
        <w:t xml:space="preserve">ESI 4–5 (Less urgent/Non-urgent): isolated dental pain (e.g., irreversible pulpitis) without swelling, fever, or trismus — appropriate for outpatient dental referral rather than ED-level workup.</w:t>
      </w:r>
    </w:p>
    <w:p>
      <w:pPr>
        <w:pStyle w:val="Heading1"/>
        <w:spacing w:before="300"/>
      </w:pPr>
      <w:r>
        <w:t xml:space="preserve">4. Nursing Intake Notes (raw, unedited triage-desk scratch sheet)</w:t>
      </w:r>
    </w:p>
    <w:p>
      <w:pPr>
        <w:spacing w:before="60"/>
      </w:pPr>
      <w:r>
        <w:rPr>
          <w:i/>
          <w:iCs/>
          <w:color w:val="888888"/>
          <w:sz w:val="16"/>
          <w:szCs w:val="16"/>
        </w:rPr>
        <w:t xml:space="preserve">NOTE: section below reproduced verbatim from handwritten triage log for OCR/parsing robustness testing — inconsistent formatting is intentional.</w:t>
      </w:r>
    </w:p>
    <w:p>
      <w:r>
        <w:rPr>
          <w:sz w:val="18"/>
          <w:szCs w:val="18"/>
        </w:rPr>
        <w:t xml:space="preserve">pt c/o L jaw swelling x3 days, fever 101.2F @ home, cant fully open mouth (trismus ~15mm), voice sounds funny "hot potato", drooling a bit --- ESCALATE, poss ludwigs?? paged OMFS + anesthesia 14:32</w:t>
      </w:r>
    </w:p>
    <w:p>
      <w:r>
        <w:rPr>
          <w:sz w:val="18"/>
          <w:szCs w:val="18"/>
        </w:rPr>
        <w:t xml:space="preserve">2nd pt --- tooth pain UR molar, no swelling no fever, wants refill of vicodin, hx of similar c/p x2 last month --- routine dental referral, ESI 4</w:t>
      </w:r>
    </w:p>
    <w:p>
      <w:r>
        <w:rPr>
          <w:sz w:val="18"/>
          <w:szCs w:val="18"/>
        </w:rPr>
        <w:t xml:space="preserve">3rd --- eye swelling + HA + fever, hx of recent molar extraction 1wk ago, diplopia noted by pt --- CST r/o, STAT CT w/ contrast ordered, neuro paged</w:t>
      </w:r>
    </w:p>
    <w:p>
      <w:pPr>
        <w:pStyle w:val="Heading1"/>
        <w:spacing w:before="300"/>
      </w:pPr>
      <w:r>
        <w:t xml:space="preserve">5. Disposition</w:t>
      </w:r>
    </w:p>
    <w:p>
      <w:r>
        <w:t xml:space="preserve">Patients meeting any red-flag criteria in Section 2 must not be discharged from the ED regardless of bed availability pressures. Uncomplicated, afebrile dental pain without swelling should be redirected to outpatient dental care and is not an appropriate primary ED complaint absent red-flag findings.</w:t>
      </w:r>
    </w:p>
    <w:p>
      <w:pPr>
        <w:spacing w:before="300"/>
      </w:pPr>
      <w:r>
        <w:rPr>
          <w:color w:val="888888"/>
          <w:sz w:val="16"/>
          <w:szCs w:val="16"/>
        </w:rPr>
        <w:t xml:space="preserve">Adapted from institutional OMFS/ED joint protocols and published deep neck space infection triage literature.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2026-08-17T08:33:36.760Z</dcterms:created>
  <dcterms:modified xsi:type="dcterms:W3CDTF">2026-08-17T08:33:36.760Z</dcterms:modified>
</cp:coreProperties>
</file>

<file path=docProps/custom.xml><?xml version="1.0" encoding="utf-8"?>
<Properties xmlns="http://schemas.openxmlformats.org/officeDocument/2006/custom-properties" xmlns:vt="http://schemas.openxmlformats.org/officeDocument/2006/docPropsVTypes"/>
</file>