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participants who received both 3D-CRT and IMRT), pathology (esophageal squamous cell carcinoma [ESCC] and ESCC-mixed in participants with both ESCC and non-ESCC), and type of chemotherapy (CCRT—participants who received concurrent chemoradiotherapy; CCRT+CT—participants who received concurrent chemoradiotherapy with consolidated chemotherapy, and CRT-mixed—participants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