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.171). As for chemotherapy, PF group had 40 (96.7%) patients complete full doses for two cycles, while the DP group had 32 (71.1%) patients complete full doses for two cycles (P = .002).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.131) between the PF and the DP group, respectively (Fig. 3). The 5-year PFS rates were 43.9% ± 7.8% for the PF group, and 40.0% ± 7.3% for the DP group (P = .398),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