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Participants’ inclusion criteria and the procedures of this prospective, single-center, randomized phase II trial have previously been reported. Eligible participants were aged between 18 and 70 years; had adequate bone marrow, hepatic, and renal function; a Karnofsky performance status (KPS) score ≥ 70; and had no history of other malignancies. Only participants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participants who were pregnant or breastfeeding. Our study protocol was reviewed by the SYSUCC Ethics Committee and approved. All participants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participants were divided into either the PF (41 participants) or DP (45 participants)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participants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participants. For participants assigned to receive CCRT with the DP regimen, docetaxel (60 mg/m2 delivered on day 1) and cisplatin (80 mg/m2 delivered on day 1) were intravenously administered at 3-week intervals. For participants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participants. All participants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participants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participants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