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Over the past decade, ICIs have transformed the treatment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 (see Supplementary Table S2, S3, S4)‐CRT.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