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 In a retrospective analysis of 126 patients with clinical stage T2–4N0M0 thoracic esophageal squamous cell carcinoma treated with definitive chemoradiotherapy, involved-field irradiation and elective nodal irradiation yielded similar failure patterns and overall survival (median OS, 36 vs. 38 months), and the incidences of grade ≥3 myelosuppression and esophagitis did not differ significantly between the two groups ([28]).</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