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pPr>
        <w:spacing w:line="480" w:lineRule="auto"/>
        <w:ind w:firstLine="480"/>
        <w:jc w:val="both"/>
      </w:pPr>
      <w:commentRangeStart w:id="0"/>
      <w:r>
        <w:rPr>
          <w:rFonts w:ascii="Times New Roman" w:hAnsi="Times New Roman" w:eastAsia="宋体"/>
          <w:sz w:val="24"/>
          <w:szCs w:val="24"/>
        </w:rPr>
        <w:t>PubMed, Embase, Web of Science, and the Cochrane Central Register of Controlled Trials were searched up to 30 April 2022 (final update), without language restriction, for studies comparing involved-field irradiation (IFI) with elective nodal irradiation (ENI) in patients with esophageal cancer who received definitive radiotherapy or chemoradiotherapy.</w:t>
      </w:r>
      <w:commentRangeEnd w:id="0"/>
      <w:r>
        <w:rPr>
          <w:rStyle w:val="CommentReference"/>
        </w:rPr>
        <w:commentReference w:id="0"/>
      </w:r>
      <w:r>
        <w:rPr>
          <w:rFonts w:ascii="Times New Roman" w:hAnsi="Times New Roman" w:eastAsia="宋体"/>
          <w:sz w:val="24"/>
          <w:szCs w:val="24"/>
        </w:rPr>
        <w:t xml:space="preserve"> The search strategy combined controlled vocabulary and free-text terms for esophageal cancer (for example, esophageal neoplasms, esophageal carcinoma, and oesophageal squamous cell carcinoma) with terms for radiotherapy target volume (for example, involved-field irradiation, elective nodal irradiation, and extended-field irradiation), and the terms were combined with Boolean operators. The complete search strategy for each database, including all search terms, Boolean operators, field tags, and any limits applied, is reported in </w:t>
      </w:r>
      <w:r>
        <w:rPr>
          <w:b/>
          <w:rFonts w:ascii="Times New Roman" w:hAnsi="Times New Roman" w:eastAsia="宋体"/>
          <w:sz w:val="24"/>
          <w:szCs w:val="24"/>
        </w:rPr>
        <w:t xml:space="preserve">Supplementary Table 1</w:t>
      </w:r>
      <w:r>
        <w:rPr>
          <w:rFonts w:ascii="Times New Roman" w:hAnsi="Times New Roman" w:eastAsia="宋体"/>
          <w:sz w:val="24"/>
          <w:szCs w:val="24"/>
        </w:rPr>
        <w:t xml:space="preserve">.</w:t>
      </w:r>
      <w:r>
        <w:rPr>
          <w:rFonts w:ascii="Times New Roman" w:hAnsi="Times New Roman" w:eastAsia="宋体"/>
          <w:sz w:val="24"/>
          <w:szCs w:val="24"/>
        </w:rPr>
        <w:t xml:space="preserve"> The eligibility criteria applied to the retrieved records, including the study designs, populations, interventions, comparators, and outcomes required for inclusion, are described in the following subsection.</w:t>
      </w:r>
      <w:commentRangeStart w:id="1"/>
      <w:r>
        <w:rPr>
          <w:rFonts w:ascii="Times New Roman" w:hAnsi="Times New Roman" w:eastAsia="宋体"/>
          <w:sz w:val="24"/>
          <w:szCs w:val="24"/>
        </w:rPr>
        <w:t xml:space="preserve"> This systematic review was conducted and reported in accordance with the Preferred Reporting Items for Systematic Reviews and Meta-Analyses (PRISMA) 2020 statement.</w:t>
      </w:r>
      <w:commentRangeEnd w:id="1"/>
      <w:r>
        <w:rPr>
          <w:rStyle w:val="CommentReference"/>
        </w:rPr>
        <w:commentReference w:id="1"/>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