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 When surgery is required, pharyngolaryngo-cervical esophagectomy may leave full or partial circumferential defects, and a review of pharyngo-cervical esophageal reconstruction found that microsurgical techniques—most commonly the jejunal free flap, with free skin flaps as an alternative—are now the mainstay of reconstruction and carry an acceptable complication rate, although quantitative data on postoperative swallowing remain limited [[14]].</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The data of patients with cervical esophageal squamous cell carcinoma who were treated by chemoradiotherapy with ENI or IFI were retrospectively reviewed in the Fourth Hospital of Hebei Medical University. Initial staging consisted of medical examination, endoscopy, esophageal barium radiography, computed tomography (CT) of neck, chest and abdomen, and 18 F-fluorodeoxyglucose-positron emission tomography (18 F-FDG PET) if possible which was not covered by medical insurance. All the patients were restaged according to the American Joint Commission (AJCC) 8th edition criteria. Patients were considered eligible for this study if they met the following criteria: (1) histologically confirmed esophageal squamous cell carcinoma; (2) primary tumor located in cervical esophagus; (3) being treated with definitive radiotherapy using three-dimensional conformal radiotherapy (3D-CRT) or intensity-modulated radiotherapy (IMRT) and concurrent chemotherapy. Ineligible criteria are as follows: (1) non-squamous cell histology or multiple primary cancers; (2) distant metastases; (3) Eastern Cooperative Oncology Group (ECOG) performance status (PS) score &gt; 2; (4) history of malignant neoplasm; (5) severe dysfunction of organs such as heart, liver and kidney and so on; (6) patients who did not receiving dCCRT; (7) radiotherapy dose &lt; 50 Gy and (8) missing clinical data. The retrospective collection and analysis of data were approved by the Fourth Hospital of Hebei Medical University Review Board.</w:t>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patients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406 patients with CESCC during the study period. After assessment of eligibility, a total of 131 patients with CESCC were included in the study with 60 patients (45.8%) in the ENI group and 71 patients (54.2%) in the IFI group. The study enrollment was demonstrated in Fig. 1. After PSM, there were 49 patients in each group. The eligible patients’ baseline characteristics were listed in Table 1. Before PSM, there were more patients with the age of &gt; 65 years in IFI group than in ENI group. The median age at diagnosis was 62 (42–74) years in the ENI group and 65 (38–75) years in the IFI group before PSM. The median radiation dose was 60 Gy (range, 50.4–66 Gy) and 60 Gy (range, 50–66 Gy) respectively for ENI group and IFI group. One hundred and twenty patients (91.6%) were treated with IMRT, 11 patients (8.4%) were treated with 3D-CRT. Most of the patients received FP or TP regimen. Seventy-eight patients (79.6%) received 2 cycles of concurrent chemotherapy and 20 patients received 1 cycle of concurrent chemotherapy. Nine patients in ENI group and 6 patients in IFI group underwent induction chemotherapy of 2 cycles. Twenty-eight patients and 31 patients respectively in ENI group and IFI group received consolidation chemotherapy of 1–4 cycles (median: 2 cycles).</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sidRPr="00C4D5E6">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0.805; HR 1.06, 95% CI 0.69–1.62) (Fig. 2A). After PSM, the median OS, 1-, 3-, 5-, and 8-year OS rates for ENI and IFI group were 32.0 months, 83.7%, 48.5%, 38.5% and 31.1% versus 45.2 months, 89.8%, 52.5%, 37.5%, 26.1%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(Fig. 2B).</w:t>
      </w:r>
    </w:p>
    <w:p w14:paraId="1A2B3CE1" w14:textId="77777777" w:rsidR="00A1B2C3" w:rsidRDefault="00A1B2C3">
      <w:pPr>
        <w:spacing w:line="480" w:lineRule="auto"/>
        <w:ind w:firstLine="480"/>
        <w:jc w:val="both"/>
      </w:pPr>
      <w:r w:rsidRPr="00C4D5E6">
        <w:rPr>
          <w:rFonts w:ascii="Times New Roman" w:hAnsi="Times New Roman" w:eastAsia="宋体"/>
          <w:sz w:val="24"/>
          <w:szCs w:val="24"/>
        </w:rPr>
        <w:t xml:space="preserve">On univariate analysis, cN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HR 1.21, 95% CI 1.04–1.42) and sex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HR 0.60, 95% CI 0.36–0.99) were shown to be related to OS after PSM (Table 2). And multivariate analysis suggested that N0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0.029; HR 1.20, 95% CI 1.02–1.42) and female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sidRPr="00C4D5E6">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0.815), 14.3% versus 4.1%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and 18.4% versus 22.4%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sidRPr="00C4D5E6">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Twenty patients (40.8%) in ENI group and 12 patients (24.5%) in IFI experienced ≥ grade 2 leukocytopenia (40.8% vs. 24.5%;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0.131). Fifteen patients (30.6%) had any grade neutropenia in ENI group and seven (14.3%) in IFI group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Six patients (12.2%) receiving ENI experienced ≥ grade 2 neutropenia and seven (14.3%) in IFI group (12.2%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retrospective study had the largest sample size to compare the efficacy of ENI versus IFI in dCCRT for CESCC. The long-term survival of 8 years was reported in our study. No differences were found in 1-, 3-, 5-, 8-year OS between the ENI group and IFI group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sidRPr="00C4D5E6">
        <w:rPr>
          <w:rFonts w:ascii="Times New Roman" w:hAnsi="Times New Roman" w:eastAsia="宋体"/>
          <w:sz w:val="24"/>
          <w:szCs w:val="24"/>
        </w:rPr>
        <w:t xml:space="preserve">In our study, N stage was a significant prognostic factor for OS. But the subgroup analysis showed that the patients with regional nodal metastasis did not benefit from ENI. It has been shown that ionizing radiation could provoke tumor-specific immune responses and reshape the immunological tumor microenvironment in a favorable way [[21]]. Irradiation of lymph nodes may affect the immune system. It was reported that ENI could attenuate chemokine expression, restrained immune infiltration and adversely impacted survival [[22]]. In practice, for patients with lymph node metastasis, the irradiation field usually included the positive nodal area. For patients with no regional lymph node metastasis, it might be necessary to balance potential benefits against potential risks. In our study, local recurrence and distant metastasis remained the major challenges in the treatment of CESCC with dCCRT. For the regional failure pattern, six out of seven patients experienced out-of-field nodal recurrence and one patient was in-filed recurrence in ENI group. Two patients occurred out-of-field nodal recurrence in IFI group (4.1% vs.14.3%,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McDowell et al. [[23]] analyzed the failure patterns of 81 CESCC patients receiving RT or CRT. There were 34 local (42%), and 34 distant (42%) failures respectively. Zhao et al. [[24]] evaluated the failure patterns of CESCC treated by definitive radiotherapy with or without concurrent chemotherapy. The results showed that eight patients had regional failures, among whom 2 had failures within the CTV and 6 out of CTV. In our study, the 1-, 3-, 5-, and 8-year OS rate of patients with N0 stage receiving IFI was 100.0%, 54.5%, 24.2%, 24.2%, respectively, which was comparable to the patients receiving ENI (Additional file 1: Fig.A.2). Considering chemotherapy might contribute to the control of micrometastasis as a systematic treatment modality, the conclusion probably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