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however, subgroup analysis showed that patients with regional nodal metastasis did not benefit from ENI. Ionizing radiation has been shown to provoke tumor-specific immune responses and to reshape the immunological tumor microenvironment favorably [[21]]. Irradiation of lymph nodes may therefore affect the immune system. ENI has been reported to attenuate chemokine expression, restrain immune infiltration, and adversely affect survival [[22]]. In clinical practice, for patients with lymph node metastasis, the irradiation field usually includes the involved nodal area. For patients without regional lymph node metastasis, the potential benefits must be weighed against the potential risks. In our cohort, local recurrence and distant metastasis remained the major challenges in the treatment of CESCC with dCCRT. With regard to regional failure patterns, six of seven patients in the ENI group experienced out-of-field nodal recurrence and one had in-field recurrence, whereas two patients in the IFI group had out-of-field nodal recurrence (4.1% vs. 14.3%,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0.159). McDowell et al. [[23]] analyzed the failure patterns of 81 patients with CESCC receiving RT or CRT, reporting 34 local (42%) and 34 distant (42%) failures. Zhao et al. [[24]] evaluated the failure patterns of CESCC treated with definitive radiotherapy with or without concurrent chemotherapy and found that eight patients had regional failures, of which two were within the CTV and six outside the CTV. In our study, the 1-, 3-, 5-, and 8-year OS rates of patients with N0 stage disease receiving IFI were 100.0%, 54.5%, 24.2%, and 24.2%, respectively, comparable to those of patients receiving ENI (Additional file 1: Fig.A.2). Given that chemotherapy, as a systemic treatment modality, may contribute to the control of micrometastasis, these findings may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