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r w:rsidRPr="00C4D5E6">
        <w:rPr>
          <w:rFonts w:ascii="Times New Roman" w:hAnsi="Times New Roman" w:eastAsia="宋体"/>
          <w:sz w:val="24"/>
          <w:szCs w:val="24"/>
        </w:rPr>
        <w:t xml:space="preserve"> For example, a propensity score-matched analysis of 812 patients with stage II–III esophageal squamous cell carcinoma found that consolidation chemotherapy with cisplatin/5-FU after CCRT did not significantly improve progression-free or overall survival compared with CCRT alone ([16]).</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