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participants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Participants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participant randomization. As such, a minimum of 134 participants was required for each group to achieve 80% power at the 5% level to detect a 10% increment in 1-year OS. Based on a 10% dropout rate, a final sample size of 150 for each group was required. Eligible participants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participants was performed with R software using random block sizes of 4 with stratification of disease stage (IIa vs IIb vs III vs IVa vs IVb) and participating center. A random assignment number was allocated to each participant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participants (240 participants) enrolled in the study by February 19, 2019, 34 of 127 participants (26.8%) assigned to the CRTCT group were unable to complete concurrent chemotherapy and only 20 participants (15.7%) stopped treatment owing to treatment-related toxic effects. We subsequently enlarged the sample size by retaining the sample size of RT group according to the initial plan (150 participants) and changed the randomization proportion from 1:1 to 4:3 (CRTCT group:RT group) to enroll more participants into the CRTCT group. Consequently, the number of participants who completed RT in the RT group was similar to those who completed concurrent chemoradiotherapy in CRTCT group (133 participants vs 134 participants).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participants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participants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participants experiencing recurrence or progression of dysphagia); bone scan (in participants experiencing bone pain or with elevated alkaline phosphatase levels); magnetic resonance imaging of the brain (in participants experiencing any symptoms related to central nervous system); and documentation of participants’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participants).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participants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