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We retrospectively enrolled patients with ESCC who had been treated with CRT from January 2010 to December 2020 at our center, including 8 cases from a single-arm, single-center, investigator-initiated, exploratory, phase II clinical study (ClinicalTrials.gov NCT04137679) at Tianjin Medical University Cancer Institute &amp; Hospital in Tianjin, China. The inclusion criteria were as follows: (1) squamous cell histological type; (2) staged as unresectable T4 disease by a multidisciplinary team based on biopsy and imaging pretreatment examination data; (3) downstaged to T3 or lower T stage by neoadjuvant CRT; (4) without distant organ metastases; and (5) Eastern Cooperative Oncology Group (ECOG) performance status (PS) of ≤ 1. All patients were staged according to the 8th edition of the American Joint Committee on Cancer (AJCC) staging manual.</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patients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patients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patients’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CRT-S group received a 40-Gy radiation dose (2 Gy once daily in 20 fractions, 5 days a week) and were scheduled to undergo resection 4–6 weeks after having completed induction chemoradiation. Patients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patients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Pr>
          <w:rFonts w:ascii="Times New Roman" w:hAnsi="Times New Roman" w:eastAsia="宋体"/>
          <w:i/>
          <w:sz w:val="24"/>
          <w:szCs w:val="24"/>
        </w:rPr>
        <w:t xml:space="preserve">P</w:t>
      </w:r>
      <w:r>
        <w:rPr>
          <w:rFonts w:ascii="Times New Roman" w:hAnsi="Times New Roman" w:eastAsia="宋体"/>
          <w:sz w:val="24"/>
          <w:szCs w:val="24"/>
        </w:rPr>
        <w:t xml:space="preserve"> = 0.063), and more patients were in the middle or lower segment (</w:t>
      </w:r>
      <w:r>
        <w:rPr>
          <w:rFonts w:ascii="Times New Roman" w:hAnsi="Times New Roman" w:eastAsia="宋体"/>
          <w:i/>
          <w:sz w:val="24"/>
          <w:szCs w:val="24"/>
        </w:rPr>
        <w:t xml:space="preserve">P</w:t>
      </w:r>
      <w:r>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E" w14:textId="77777777" w:rsidR="00A1B2C3" w:rsidRDefault="00A1B2C3">
      <w:pPr>
        <w:spacing w:line="480" w:lineRule="auto"/>
        <w:ind w:firstLine="480"/>
        <w:jc w:val="both"/>
      </w:pPr>
      <w:r>
        <w:rPr>
          <w:rFonts w:ascii="Times New Roman" w:hAnsi="Times New Roman" w:eastAsia="宋体"/>
          <w:sz w:val="24"/>
          <w:szCs w:val="24"/>
        </w:rPr>
        <w:t xml:space="preserve">Among all 106 patients, treatment (</w:t>
      </w:r>
      <w:r>
        <w:rPr>
          <w:rFonts w:ascii="Times New Roman" w:hAnsi="Times New Roman" w:eastAsia="宋体"/>
          <w:i/>
          <w:sz w:val="24"/>
          <w:szCs w:val="24"/>
        </w:rPr>
        <w:t xml:space="preserve">P</w:t>
      </w:r>
      <w:r>
        <w:rPr>
          <w:rFonts w:ascii="Times New Roman" w:hAnsi="Times New Roman" w:eastAsia="宋体"/>
          <w:sz w:val="24"/>
          <w:szCs w:val="24"/>
        </w:rPr>
        <w:t xml:space="preserve"> = 0.037, Fig. 2A), age (</w:t>
      </w:r>
      <w:r>
        <w:rPr>
          <w:rFonts w:ascii="Times New Roman" w:hAnsi="Times New Roman" w:eastAsia="宋体"/>
          <w:i/>
          <w:sz w:val="24"/>
          <w:szCs w:val="24"/>
        </w:rPr>
        <w:t xml:space="preserve">P</w:t>
      </w:r>
      <w:r>
        <w:rPr>
          <w:rFonts w:ascii="Times New Roman" w:hAnsi="Times New Roman" w:eastAsia="宋体"/>
          <w:sz w:val="24"/>
          <w:szCs w:val="24"/>
        </w:rPr>
        <w:t xml:space="preserve"> = 0.009, Fig. 2B), and drinking index (</w:t>
      </w:r>
      <w:r>
        <w:rPr>
          <w:rFonts w:ascii="Times New Roman" w:hAnsi="Times New Roman" w:eastAsia="宋体"/>
          <w:i/>
          <w:sz w:val="24"/>
          <w:szCs w:val="24"/>
        </w:rPr>
        <w:t xml:space="preserve">P</w:t>
      </w:r>
      <w:r>
        <w:rPr>
          <w:rFonts w:ascii="Times New Roman" w:hAnsi="Times New Roman" w:eastAsia="宋体"/>
          <w:sz w:val="24"/>
          <w:szCs w:val="24"/>
        </w:rPr>
        <w:t xml:space="preserve"> = 0.007, Fig. 2C) were significantly associated with overall survival (OS); treatment (</w:t>
      </w:r>
      <w:r>
        <w:rPr>
          <w:rFonts w:ascii="Times New Roman" w:hAnsi="Times New Roman" w:eastAsia="宋体"/>
          <w:i/>
          <w:sz w:val="24"/>
          <w:szCs w:val="24"/>
        </w:rPr>
        <w:t xml:space="preserve">P</w:t>
      </w:r>
      <w:r>
        <w:rPr>
          <w:rFonts w:ascii="Times New Roman" w:hAnsi="Times New Roman" w:eastAsia="宋体"/>
          <w:sz w:val="24"/>
          <w:szCs w:val="24"/>
        </w:rPr>
        <w:t xml:space="preserve"> = 0.008, Fig. 3A), age (</w:t>
      </w:r>
      <w:r>
        <w:rPr>
          <w:rFonts w:ascii="Times New Roman" w:hAnsi="Times New Roman" w:eastAsia="宋体"/>
          <w:i/>
          <w:sz w:val="24"/>
          <w:szCs w:val="24"/>
        </w:rPr>
        <w:t xml:space="preserve">P</w:t>
      </w:r>
      <w:r>
        <w:rPr>
          <w:rFonts w:ascii="Times New Roman" w:hAnsi="Times New Roman" w:eastAsia="宋体"/>
          <w:sz w:val="24"/>
          <w:szCs w:val="24"/>
        </w:rPr>
        <w:t xml:space="preserve"> = 0.020, Fig. 3B), and drinking index (</w:t>
      </w:r>
      <w:r>
        <w:rPr>
          <w:rFonts w:ascii="Times New Roman" w:hAnsi="Times New Roman" w:eastAsia="宋体"/>
          <w:i/>
          <w:sz w:val="24"/>
          <w:szCs w:val="24"/>
        </w:rPr>
        <w:t xml:space="preserve">P</w:t>
      </w:r>
      <w:r>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Pr>
          <w:rFonts w:ascii="Times New Roman" w:hAnsi="Times New Roman" w:eastAsia="宋体"/>
          <w:i/>
          <w:sz w:val="24"/>
          <w:szCs w:val="24"/>
        </w:rPr>
        <w:t xml:space="preserve">P</w:t>
      </w:r>
      <w:r>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Pr>
          <w:rFonts w:ascii="Times New Roman" w:hAnsi="Times New Roman" w:eastAsia="宋体"/>
          <w:i/>
          <w:sz w:val="24"/>
          <w:szCs w:val="24"/>
        </w:rPr>
        <w:t xml:space="preserve">P</w:t>
      </w:r>
      <w:r>
        <w:rPr>
          <w:rFonts w:ascii="Times New Roman" w:hAnsi="Times New Roman" w:eastAsia="宋体"/>
          <w:sz w:val="24"/>
          <w:szCs w:val="24"/>
        </w:rPr>
        <w:t xml:space="preserve"> = 0.017) and drinking index (hazard ratio = 0.569, 95% confidence interval: 0.351–0.924, </w:t>
      </w:r>
      <w:r>
        <w:rPr>
          <w:rFonts w:ascii="Times New Roman" w:hAnsi="Times New Roman" w:eastAsia="宋体"/>
          <w:i/>
          <w:sz w:val="24"/>
          <w:szCs w:val="24"/>
        </w:rPr>
        <w:t xml:space="preserve">P</w:t>
      </w:r>
      <w:r>
        <w:rPr>
          <w:rFonts w:ascii="Times New Roman" w:hAnsi="Times New Roman" w:eastAsia="宋体"/>
          <w:sz w:val="24"/>
          <w:szCs w:val="24"/>
        </w:rPr>
        <w:t xml:space="preserve"> = 0.022) were independent predictors for PFS (Tables 2 and 3).</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Pr>
          <w:rFonts w:ascii="Times New Roman" w:hAnsi="Times New Roman" w:eastAsia="宋体"/>
          <w:i/>
          <w:sz w:val="24"/>
          <w:szCs w:val="24"/>
        </w:rPr>
        <w:t xml:space="preserve">P</w:t>
      </w:r>
      <w:r>
        <w:rPr>
          <w:rFonts w:ascii="Times New Roman" w:hAnsi="Times New Roman" w:eastAsia="宋体"/>
          <w:sz w:val="24"/>
          <w:szCs w:val="24"/>
        </w:rPr>
        <w:t xml:space="preserve"> = 0.025, Fig. 4A), age (</w:t>
      </w:r>
      <w:r>
        <w:rPr>
          <w:rFonts w:ascii="Times New Roman" w:hAnsi="Times New Roman" w:eastAsia="宋体"/>
          <w:i/>
          <w:sz w:val="24"/>
          <w:szCs w:val="24"/>
        </w:rPr>
        <w:t xml:space="preserve">P</w:t>
      </w:r>
      <w:r>
        <w:rPr>
          <w:rFonts w:ascii="Times New Roman" w:hAnsi="Times New Roman" w:eastAsia="宋体"/>
          <w:sz w:val="24"/>
          <w:szCs w:val="24"/>
        </w:rPr>
        <w:t xml:space="preserve"> = 0.001, Fig. 4B), KPS score (</w:t>
      </w:r>
      <w:r>
        <w:rPr>
          <w:rFonts w:ascii="Times New Roman" w:hAnsi="Times New Roman" w:eastAsia="宋体"/>
          <w:i/>
          <w:sz w:val="24"/>
          <w:szCs w:val="24"/>
        </w:rPr>
        <w:t xml:space="preserve">P</w:t>
      </w:r>
      <w:r>
        <w:rPr>
          <w:rFonts w:ascii="Times New Roman" w:hAnsi="Times New Roman" w:eastAsia="宋体"/>
          <w:sz w:val="24"/>
          <w:szCs w:val="24"/>
        </w:rPr>
        <w:t xml:space="preserve"> = 0.039, Fig. 4C) and smoking index (</w:t>
      </w:r>
      <w:r>
        <w:rPr>
          <w:rFonts w:ascii="Times New Roman" w:hAnsi="Times New Roman" w:eastAsia="宋体"/>
          <w:i/>
          <w:sz w:val="24"/>
          <w:szCs w:val="24"/>
        </w:rPr>
        <w:t xml:space="preserve">P</w:t>
      </w:r>
      <w:r>
        <w:rPr>
          <w:rFonts w:ascii="Times New Roman" w:hAnsi="Times New Roman" w:eastAsia="宋体"/>
          <w:sz w:val="24"/>
          <w:szCs w:val="24"/>
        </w:rPr>
        <w:t xml:space="preserve"> = 0.039, Fig. 4D) were significantly associated with OS; treatment (</w:t>
      </w:r>
      <w:r>
        <w:rPr>
          <w:rFonts w:ascii="Times New Roman" w:hAnsi="Times New Roman" w:eastAsia="宋体"/>
          <w:i/>
          <w:sz w:val="24"/>
          <w:szCs w:val="24"/>
        </w:rPr>
        <w:t xml:space="preserve">P</w:t>
      </w:r>
      <w:r>
        <w:rPr>
          <w:rFonts w:ascii="Times New Roman" w:hAnsi="Times New Roman" w:eastAsia="宋体"/>
          <w:sz w:val="24"/>
          <w:szCs w:val="24"/>
        </w:rPr>
        <w:t xml:space="preserve"> = 0.026, Fig. 5A), age (</w:t>
      </w:r>
      <w:r>
        <w:rPr>
          <w:rFonts w:ascii="Times New Roman" w:hAnsi="Times New Roman" w:eastAsia="宋体"/>
          <w:i/>
          <w:sz w:val="24"/>
          <w:szCs w:val="24"/>
        </w:rPr>
        <w:t xml:space="preserve">P</w:t>
      </w:r>
      <w:r>
        <w:rPr>
          <w:rFonts w:ascii="Times New Roman" w:hAnsi="Times New Roman" w:eastAsia="宋体"/>
          <w:sz w:val="24"/>
          <w:szCs w:val="24"/>
        </w:rPr>
        <w:t xml:space="preserve"> = 0.001, Fig. 5B), smoking index (</w:t>
      </w:r>
      <w:r>
        <w:rPr>
          <w:rFonts w:ascii="Times New Roman" w:hAnsi="Times New Roman" w:eastAsia="宋体"/>
          <w:i/>
          <w:sz w:val="24"/>
          <w:szCs w:val="24"/>
        </w:rPr>
        <w:t xml:space="preserve">P</w:t>
      </w:r>
      <w:r>
        <w:rPr>
          <w:rFonts w:ascii="Times New Roman" w:hAnsi="Times New Roman" w:eastAsia="宋体"/>
          <w:sz w:val="24"/>
          <w:szCs w:val="24"/>
        </w:rPr>
        <w:t xml:space="preserve"> = 0.016, Fig. 5C) and smoking status (</w:t>
      </w:r>
      <w:r>
        <w:rPr>
          <w:rFonts w:ascii="Times New Roman" w:hAnsi="Times New Roman" w:eastAsia="宋体"/>
          <w:i/>
          <w:sz w:val="24"/>
          <w:szCs w:val="24"/>
        </w:rPr>
        <w:t xml:space="preserve">P</w:t>
      </w:r>
      <w:r>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Pr>
          <w:rFonts w:ascii="Times New Roman" w:hAnsi="Times New Roman" w:eastAsia="宋体"/>
          <w:i/>
          <w:sz w:val="24"/>
          <w:szCs w:val="24"/>
        </w:rPr>
        <w:t xml:space="preserve">P</w:t>
      </w:r>
      <w:r>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Pr>
          <w:rFonts w:ascii="Times New Roman" w:hAnsi="Times New Roman" w:eastAsia="宋体"/>
          <w:i/>
          <w:sz w:val="24"/>
          <w:szCs w:val="24"/>
        </w:rPr>
        <w:t xml:space="preserve">P</w:t>
      </w:r>
      <w:r>
        <w:rPr>
          <w:rFonts w:ascii="Times New Roman" w:hAnsi="Times New Roman" w:eastAsia="宋体"/>
          <w:sz w:val="24"/>
          <w:szCs w:val="24"/>
        </w:rPr>
        <w:t xml:space="preserve"> = 0.049), age (hazard ratio = 0.372, 95% confidence interval: 0.176–0.785, </w:t>
      </w:r>
      <w:r>
        <w:rPr>
          <w:rFonts w:ascii="Times New Roman" w:hAnsi="Times New Roman" w:eastAsia="宋体"/>
          <w:i/>
          <w:sz w:val="24"/>
          <w:szCs w:val="24"/>
        </w:rPr>
        <w:t xml:space="preserve">P</w:t>
      </w:r>
      <w:r>
        <w:rPr>
          <w:rFonts w:ascii="Times New Roman" w:hAnsi="Times New Roman" w:eastAsia="宋体"/>
          <w:sz w:val="24"/>
          <w:szCs w:val="24"/>
        </w:rPr>
        <w:t xml:space="preserve"> = 0.009) and smoking status (hazard ratio = 2.864, 95% confidence interval: 1.081–7.589, </w:t>
      </w:r>
      <w:r>
        <w:rPr>
          <w:rFonts w:ascii="Times New Roman" w:hAnsi="Times New Roman" w:eastAsia="宋体"/>
          <w:i/>
          <w:sz w:val="24"/>
          <w:szCs w:val="24"/>
        </w:rPr>
        <w:t xml:space="preserve">P</w:t>
      </w:r>
      <w:r>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Pr>
          <w:rFonts w:ascii="Times New Roman" w:hAnsi="Times New Roman" w:eastAsia="宋体"/>
          <w:i/>
          <w:sz w:val="24"/>
          <w:szCs w:val="24"/>
        </w:rPr>
        <w:t xml:space="preserve">P</w:t>
      </w:r>
      <w:r>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retrospectively investigated the clinical characteristics and prognosis of patients with T4 stage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some studies showed negative results. A study from Japan enrolled 71 patients with T4 EC with tracheobronchial invasion (TBI); 58 underwent dCRT, and 13 underwent iCRT-S. There was no significant difference between the dCRT and iCRT-S groups. Clinical LN negativity and later treatment period were significantly good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between patients [[22]]. To our knowledge, our study is the first to compare CRT-S and D-CRT in locally advanced inoperable ESCC patients who were downstaged after neo-CRT. The choice of the 8 patients from a single-arm, single-center, investigator-initiated, exploratory, phase II clinical study (ClinicalTrials.gov NCT04137679) was randomly made according to the random system. For the rest of the 98 cases, doctors provided the two possibilities of treatment ways equally and patients and doctors made the final decision together. It is a basic principle to respect the patients right of consent. After propensity score matching (PSM), no significant differences between the CRT-S and D-CRT groups were observed in the patient characteristics. Although we acknowledge the limitations of retrospective studies, surgery after neo-CRT may probably improve survival and decrease recurrence compared with D-CRT for locally advanced inoperable ESCC patients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