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r>
        <w:rPr>
          <w:rFonts w:ascii="Times New Roman" w:hAnsi="Times New Roman" w:eastAsia="宋体"/>
          <w:sz w:val="24"/>
          <w:szCs w:val="24"/>
        </w:rPr>
        <w:t xml:space="preserve">We retrospectively enrolled participants with ESCC who had been treated with CRT from January 2010 to December 2020 at our center, including 8 cases from a single-arm, single-center, investigator-initiated, exploratory, phase II clinical study (ClinicalTrials.gov NCT04137679) at Tianjin Medical University Cancer Institute &amp; Hospital in Tianjin, China. The inclusion criteria were as follows: (1) squamous cell histological type; (2) staged as unresectable T4 disease by a multidisciplinary team based on biopsy and imaging pretreatment examination data; (3) downstaged to T3 or lower T stage by neoadjuvant CRT; (4) without distant organ metastases; and (5) Eastern Cooperative Oncology Group (ECOG) performance status (PS) of ≤ 1. All participants were staged according to the 8th edition of the American Joint Committee on Cancer (AJCC) staging manual.</w:t>
      </w:r>
    </w:p>
    <w:p w14:paraId="1A2B3C0D" w14:textId="77777777" w:rsidR="00A1B2C3" w:rsidRDefault="00A1B2C3">
      <w:pPr>
        <w:spacing w:line="480" w:lineRule="auto"/>
        <w:ind w:firstLine="480"/>
        <w:jc w:val="both"/>
      </w:pPr>
      <w:r>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participant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The following clinicopathologic parameters for each participant were also collected: sex, age at diagnosis, smoking history, drinking history and TNM stage in line with the 8th edition of the esophageal cancer staging system. The PFS and OS of participants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Pr>
          <w:rFonts w:ascii="Times New Roman" w:hAnsi="Times New Roman" w:eastAsia="宋体"/>
          <w:sz w:val="24"/>
          <w:szCs w:val="24"/>
        </w:rPr>
        <w:t xml:space="preserve">Participants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participants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participants’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Pr>
          <w:rFonts w:ascii="Times New Roman" w:hAnsi="Times New Roman" w:eastAsia="宋体"/>
          <w:sz w:val="24"/>
          <w:szCs w:val="24"/>
        </w:rPr>
        <w:t xml:space="preserve">Participants in the CRT-S group received a 40-Gy radiation dose (2 Gy once daily in 20 fractions, 5 days a week) and were scheduled to undergo resection 4–6 weeks after having completed induction chemoradiation. Participants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participants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Pr>
          <w:rFonts w:ascii="Times New Roman" w:hAnsi="Times New Roman" w:eastAsia="宋体"/>
          <w:sz w:val="24"/>
          <w:szCs w:val="24"/>
        </w:rPr>
        <w:t xml:space="preserve">This study was approved by the institutional review board at Tianjin Medical University. Written informed consent was obtained from each participant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