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Pr>
          <w:rFonts w:ascii="Times New Roman" w:hAnsi="Times New Roman" w:eastAsia="宋体"/>
          <w:sz w:val="24"/>
          <w:szCs w:val="24"/>
        </w:rPr>
        <w:t xml:space="preserve">Over the past decade, ICIs have fundamentally changed the treatment of solid tumors, including ESCC. The ATTRACTION‐3 trial[32] demonstrated that nivolumab as second‐line therapy for ESCC significantly improved long‐term OS compared with chemotherapy (median, 10.9 vs. 8.5 months; HR, 0.79; </w:t>
      </w:r>
      <w:r>
        <w:rPr>
          <w:rFonts w:ascii="Times New Roman" w:hAnsi="Times New Roman" w:eastAsia="宋体"/>
          <w:i/>
          <w:sz w:val="24"/>
          <w:szCs w:val="24"/>
        </w:rPr>
        <w:t xml:space="preserve">p</w:t>
      </w:r>
      <w:r>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Pr>
          <w:rFonts w:ascii="Times New Roman" w:hAnsi="Times New Roman" w:eastAsia="宋体"/>
          <w:i/>
          <w:sz w:val="24"/>
          <w:szCs w:val="24"/>
        </w:rPr>
        <w:t xml:space="preserve">p</w:t>
      </w:r>
      <w:r>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Pr>
          <w:rFonts w:ascii="Times New Roman" w:hAnsi="Times New Roman" w:eastAsia="宋体"/>
          <w:i/>
          <w:sz w:val="24"/>
          <w:szCs w:val="24"/>
        </w:rPr>
        <w:t xml:space="preserve">p</w:t>
      </w:r>
      <w:r>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 (see Supplementary Table S2, S3, S4)‐CRT.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