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Pr>
          <w:rFonts w:ascii="Times New Roman" w:hAnsi="Times New Roman" w:eastAsia="宋体"/>
          <w:i/>
          <w:sz w:val="24"/>
          <w:szCs w:val="24"/>
        </w:rPr>
        <w:t xml:space="preserve">P</w:t>
      </w:r>
      <w:r>
        <w:rPr>
          <w:rFonts w:ascii="Times New Roman" w:hAnsi="Times New Roman" w:eastAsia="宋体"/>
          <w:sz w:val="24"/>
          <w:szCs w:val="24"/>
        </w:rPr>
        <w:t xml:space="preserve"> = 0.051), ALC (OR 6.36, </w:t>
      </w:r>
      <w:r>
        <w:rPr>
          <w:rFonts w:ascii="Times New Roman" w:hAnsi="Times New Roman" w:eastAsia="宋体"/>
          <w:i/>
          <w:sz w:val="24"/>
          <w:szCs w:val="24"/>
        </w:rPr>
        <w:t xml:space="preserve">P</w:t>
      </w:r>
      <w:r>
        <w:rPr>
          <w:rFonts w:ascii="Times New Roman" w:hAnsi="Times New Roman" w:eastAsia="宋体"/>
          <w:sz w:val="24"/>
          <w:szCs w:val="24"/>
        </w:rPr>
        <w:t xml:space="preserve"> = 0.0053), PLT (OR 6.0000, </w:t>
      </w:r>
      <w:r>
        <w:rPr>
          <w:rFonts w:ascii="Times New Roman" w:hAnsi="Times New Roman" w:eastAsia="宋体"/>
          <w:i/>
          <w:sz w:val="24"/>
          <w:szCs w:val="24"/>
        </w:rPr>
        <w:t xml:space="preserve">P</w:t>
      </w:r>
      <w:r>
        <w:rPr>
          <w:rFonts w:ascii="Times New Roman" w:hAnsi="Times New Roman" w:eastAsia="宋体"/>
          <w:sz w:val="24"/>
          <w:szCs w:val="24"/>
        </w:rPr>
        <w:t xml:space="preserve"> = 0.001), and AMC (OR 2.82, </w:t>
      </w:r>
      <w:r>
        <w:rPr>
          <w:rFonts w:ascii="Times New Roman" w:hAnsi="Times New Roman" w:eastAsia="宋体"/>
          <w:i/>
          <w:sz w:val="24"/>
          <w:szCs w:val="24"/>
        </w:rPr>
        <w:t xml:space="preserve">P</w:t>
      </w:r>
      <w:r>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Pr>
          <w:rFonts w:ascii="Times New Roman" w:hAnsi="Times New Roman" w:eastAsia="宋体"/>
          <w:i/>
          <w:sz w:val="24"/>
          <w:szCs w:val="24"/>
        </w:rPr>
        <w:t xml:space="preserve">P</w:t>
      </w:r>
      <w:r>
        <w:rPr>
          <w:rFonts w:ascii="Times New Roman" w:hAnsi="Times New Roman" w:eastAsia="宋体"/>
          <w:sz w:val="24"/>
          <w:szCs w:val="24"/>
        </w:rPr>
        <w:t xml:space="preserve"> = 0.051), and PLT (OR 6.7, </w:t>
      </w:r>
      <w:r>
        <w:rPr>
          <w:rFonts w:ascii="Times New Roman" w:hAnsi="Times New Roman" w:eastAsia="宋体"/>
          <w:i/>
          <w:sz w:val="24"/>
          <w:szCs w:val="24"/>
        </w:rPr>
        <w:t xml:space="preserve">P</w:t>
      </w:r>
      <w:r>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Pr>
          <w:rFonts w:ascii="Times New Roman" w:hAnsi="Times New Roman" w:eastAsia="宋体"/>
          <w:sz w:val="24"/>
          <w:szCs w:val="24"/>
        </w:rPr>
        <w:t xml:space="preserve">Univariate Cox regression analysis showed that ALC (HR 0.29, </w:t>
      </w:r>
      <w:r>
        <w:rPr>
          <w:rFonts w:ascii="Times New Roman" w:hAnsi="Times New Roman" w:eastAsia="宋体"/>
          <w:i/>
          <w:sz w:val="24"/>
          <w:szCs w:val="24"/>
        </w:rPr>
        <w:t xml:space="preserve">P</w:t>
      </w:r>
      <w:r>
        <w:rPr>
          <w:rFonts w:ascii="Times New Roman" w:hAnsi="Times New Roman" w:eastAsia="宋体"/>
          <w:sz w:val="24"/>
          <w:szCs w:val="24"/>
        </w:rPr>
        <w:t xml:space="preserve"> = 0.038) and SIRI (HR 2.82, </w:t>
      </w:r>
      <w:r>
        <w:rPr>
          <w:rFonts w:ascii="Times New Roman" w:hAnsi="Times New Roman" w:eastAsia="宋体"/>
          <w:i/>
          <w:sz w:val="24"/>
          <w:szCs w:val="24"/>
        </w:rPr>
        <w:t xml:space="preserve">P</w:t>
      </w:r>
      <w:r>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Pr>
          <w:rFonts w:ascii="Times New Roman" w:hAnsi="Times New Roman" w:eastAsia="宋体"/>
          <w:i/>
          <w:sz w:val="24"/>
          <w:szCs w:val="24"/>
        </w:rPr>
        <w:t xml:space="preserve">P</w:t>
      </w:r>
      <w:r>
        <w:rPr>
          <w:rFonts w:ascii="Times New Roman" w:hAnsi="Times New Roman" w:eastAsia="宋体"/>
          <w:sz w:val="24"/>
          <w:szCs w:val="24"/>
        </w:rPr>
        <w:t xml:space="preserve"> = 0.028) and SIRI (HR 3.13, </w:t>
      </w:r>
      <w:r>
        <w:rPr>
          <w:rFonts w:ascii="Times New Roman" w:hAnsi="Times New Roman" w:eastAsia="宋体"/>
          <w:i/>
          <w:sz w:val="24"/>
          <w:szCs w:val="24"/>
        </w:rPr>
        <w:t xml:space="preserve">P</w:t>
      </w:r>
      <w:r>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Pr>
          <w:rFonts w:ascii="Times New Roman" w:hAnsi="Times New Roman" w:eastAsia="宋体"/>
          <w:i/>
          <w:sz w:val="24"/>
          <w:szCs w:val="24"/>
        </w:rPr>
        <w:t xml:space="preserve">P</w:t>
      </w:r>
      <w:r>
        <w:rPr>
          <w:rFonts w:ascii="Times New Roman" w:hAnsi="Times New Roman" w:eastAsia="宋体"/>
          <w:sz w:val="24"/>
          <w:szCs w:val="24"/>
        </w:rPr>
        <w:t xml:space="preserve"> = 0.027, Figure 2), but not for overall survival (2‐year OS: 96% vs. 87%, </w:t>
      </w:r>
      <w:r>
        <w:rPr>
          <w:rFonts w:ascii="Times New Roman" w:hAnsi="Times New Roman" w:eastAsia="宋体"/>
          <w:i/>
          <w:sz w:val="24"/>
          <w:szCs w:val="24"/>
        </w:rPr>
        <w:t xml:space="preserve">P</w:t>
      </w:r>
      <w:r>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