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Pr>
          <w:rFonts w:ascii="Times New Roman" w:hAnsi="Times New Roman" w:eastAsia="宋体"/>
          <w:sz w:val="24"/>
          <w:szCs w:val="24"/>
        </w:rPr>
        <w:t xml:space="preserve">A total of 18 studies ([22]–[29], [31], [32], [34], [36]–[38], [41]–[44]) analyzed the 1-year OS rates ( </w:t>
      </w:r>
      <w:r>
        <w:rPr>
          <w:rFonts w:ascii="Times New Roman" w:hAnsi="Times New Roman" w:eastAsia="宋体"/>
          <w:b/>
          <w:sz w:val="24"/>
          <w:szCs w:val="24"/>
        </w:rPr>
        <w:t xml:space="preserve">Figure 2A</w:t>
      </w:r>
      <w:r>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.14, high certainty) with no significant heterogeneity (P = .34; I2 = 10%). As the studies performed by Q. F. Li et al. ([26]) and Zhu et al. ([22]) contributed significantly and weighted similarly, we conducted a sensitivity analysis. Removing these did not change the 1-year OS rates. With regard to subgroup, the study type ( </w:t>
      </w:r>
      <w:r>
        <w:rPr>
          <w:rFonts w:ascii="Times New Roman" w:hAnsi="Times New Roman" w:eastAsia="宋体"/>
          <w:b/>
          <w:sz w:val="24"/>
          <w:szCs w:val="24"/>
        </w:rPr>
        <w:t xml:space="preserve">Supplementary Figure 1A</w:t>
      </w:r>
      <w:r>
        <w:rPr>
          <w:rFonts w:ascii="Times New Roman" w:hAnsi="Times New Roman" w:eastAsia="宋体"/>
          <w:sz w:val="24"/>
          <w:szCs w:val="24"/>
        </w:rPr>
        <w:t xml:space="preserve"> for RCTs group, and </w:t>
      </w:r>
      <w:r>
        <w:rPr>
          <w:rFonts w:ascii="Times New Roman" w:hAnsi="Times New Roman" w:eastAsia="宋体"/>
          <w:b/>
          <w:sz w:val="24"/>
          <w:szCs w:val="24"/>
        </w:rPr>
        <w:t xml:space="preserve">Supplementary Figure 1B</w:t>
      </w:r>
      <w:r>
        <w:rPr>
          <w:rFonts w:ascii="Times New Roman" w:hAnsi="Times New Roman" w:eastAsia="宋体"/>
          <w:sz w:val="24"/>
          <w:szCs w:val="24"/>
        </w:rPr>
        <w:t xml:space="preserve"> for non-RCTs group), the type of radiotherapy ( </w:t>
      </w:r>
      <w:r>
        <w:rPr>
          <w:rFonts w:ascii="Times New Roman" w:hAnsi="Times New Roman" w:eastAsia="宋体"/>
          <w:b/>
          <w:sz w:val="24"/>
          <w:szCs w:val="24"/>
        </w:rPr>
        <w:t xml:space="preserve">Supplementary Figure 2A</w:t>
      </w:r>
      <w:r>
        <w:rPr>
          <w:rFonts w:ascii="Times New Roman" w:hAnsi="Times New Roman" w:eastAsia="宋体"/>
          <w:sz w:val="24"/>
          <w:szCs w:val="24"/>
        </w:rPr>
        <w:t xml:space="preserve"> for the 3D-CRT group, </w:t>
      </w:r>
      <w:r>
        <w:rPr>
          <w:rFonts w:ascii="Times New Roman" w:hAnsi="Times New Roman" w:eastAsia="宋体"/>
          <w:b/>
          <w:sz w:val="24"/>
          <w:szCs w:val="24"/>
        </w:rPr>
        <w:t xml:space="preserve">Supplementary Figure 2B</w:t>
      </w:r>
      <w:r>
        <w:rPr>
          <w:rFonts w:ascii="Times New Roman" w:hAnsi="Times New Roman" w:eastAsia="宋体"/>
          <w:sz w:val="24"/>
          <w:szCs w:val="24"/>
        </w:rPr>
        <w:t xml:space="preserve"> for IMRT group, and </w:t>
      </w:r>
      <w:r>
        <w:rPr>
          <w:rFonts w:ascii="Times New Roman" w:hAnsi="Times New Roman" w:eastAsia="宋体"/>
          <w:b/>
          <w:sz w:val="24"/>
          <w:szCs w:val="24"/>
        </w:rPr>
        <w:t xml:space="preserve">Supplementary Figure 2C</w:t>
      </w:r>
      <w:r>
        <w:rPr>
          <w:rFonts w:ascii="Times New Roman" w:hAnsi="Times New Roman" w:eastAsia="宋体"/>
          <w:sz w:val="24"/>
          <w:szCs w:val="24"/>
        </w:rPr>
        <w:t xml:space="preserve"> for 3D-IMRT–mixed group), the type of pathology ( </w:t>
      </w:r>
      <w:r>
        <w:rPr>
          <w:rFonts w:ascii="Times New Roman" w:hAnsi="Times New Roman" w:eastAsia="宋体"/>
          <w:b/>
          <w:sz w:val="24"/>
          <w:szCs w:val="24"/>
        </w:rPr>
        <w:t xml:space="preserve">Supplementary Figure 3A</w:t>
      </w:r>
      <w:r>
        <w:rPr>
          <w:rFonts w:ascii="Times New Roman" w:hAnsi="Times New Roman" w:eastAsia="宋体"/>
          <w:sz w:val="24"/>
          <w:szCs w:val="24"/>
        </w:rPr>
        <w:t xml:space="preserve"> for the ESCC group, and </w:t>
      </w:r>
      <w:r>
        <w:rPr>
          <w:rFonts w:ascii="Times New Roman" w:hAnsi="Times New Roman" w:eastAsia="宋体"/>
          <w:b/>
          <w:sz w:val="24"/>
          <w:szCs w:val="24"/>
        </w:rPr>
        <w:t xml:space="preserve">Supplementary Figure 3B</w:t>
      </w:r>
      <w:r>
        <w:rPr>
          <w:rFonts w:ascii="Times New Roman" w:hAnsi="Times New Roman" w:eastAsia="宋体"/>
          <w:sz w:val="24"/>
          <w:szCs w:val="24"/>
        </w:rPr>
        <w:t xml:space="preserve"> for ESCC-mixed group), and the type of chemotherapy received ( </w:t>
      </w:r>
      <w:r>
        <w:rPr>
          <w:rFonts w:ascii="Times New Roman" w:hAnsi="Times New Roman" w:eastAsia="宋体"/>
          <w:b/>
          <w:sz w:val="24"/>
          <w:szCs w:val="24"/>
        </w:rPr>
        <w:t xml:space="preserve">Supplementary Figure 4A</w:t>
      </w:r>
      <w:r>
        <w:rPr>
          <w:rFonts w:ascii="Times New Roman" w:hAnsi="Times New Roman" w:eastAsia="宋体"/>
          <w:sz w:val="24"/>
          <w:szCs w:val="24"/>
        </w:rPr>
        <w:t xml:space="preserve"> for the CCRT group, </w:t>
      </w:r>
      <w:r>
        <w:rPr>
          <w:rFonts w:ascii="Times New Roman" w:hAnsi="Times New Roman" w:eastAsia="宋体"/>
          <w:b/>
          <w:sz w:val="24"/>
          <w:szCs w:val="24"/>
        </w:rPr>
        <w:t xml:space="preserve">Supplementary Figure 4B</w:t>
      </w:r>
      <w:r>
        <w:rPr>
          <w:rFonts w:ascii="Times New Roman" w:hAnsi="Times New Roman" w:eastAsia="宋体"/>
          <w:sz w:val="24"/>
          <w:szCs w:val="24"/>
        </w:rPr>
        <w:t xml:space="preserve"> for CCRT+CT group, and </w:t>
      </w:r>
      <w:r>
        <w:rPr>
          <w:rFonts w:ascii="Times New Roman" w:hAnsi="Times New Roman" w:eastAsia="宋体"/>
          <w:b/>
          <w:sz w:val="24"/>
          <w:szCs w:val="24"/>
        </w:rPr>
        <w:t xml:space="preserve">Supplementary Figure 4C</w:t>
      </w:r>
      <w:r>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Pr>
          <w:rFonts w:ascii="Times New Roman" w:hAnsi="Times New Roman" w:eastAsia="宋体"/>
          <w:sz w:val="24"/>
          <w:szCs w:val="24"/>
        </w:rPr>
        <w:t xml:space="preserve">Overall, 15 studies ([23]–[26], [28], [29], [31], [32], [34], [36]–[38], [41], [43], [44]) analyzed the 2-year OS rates ( </w:t>
      </w:r>
      <w:r>
        <w:rPr>
          <w:rFonts w:ascii="Times New Roman" w:hAnsi="Times New Roman" w:eastAsia="宋体"/>
          <w:b/>
          <w:sz w:val="24"/>
          <w:szCs w:val="24"/>
        </w:rPr>
        <w:t xml:space="preserve">Figure 2B</w:t>
      </w:r>
      <w:r>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.70; high certainty) with no significant heterogeneity (P = .05; I2 = 41%). As the study by Q. F. Li et al. ([26]) contributed significantly, we conducted a sensitivity analysis. Removing this did not change the 2-year OS rates. With regard to subgroup, the study type ( </w:t>
      </w:r>
      <w:r>
        <w:rPr>
          <w:rFonts w:ascii="Times New Roman" w:hAnsi="Times New Roman" w:eastAsia="宋体"/>
          <w:b/>
          <w:sz w:val="24"/>
          <w:szCs w:val="24"/>
        </w:rPr>
        <w:t xml:space="preserve">Supplementary Figure 5A</w:t>
      </w:r>
      <w:r>
        <w:rPr>
          <w:rFonts w:ascii="Times New Roman" w:hAnsi="Times New Roman" w:eastAsia="宋体"/>
          <w:sz w:val="24"/>
          <w:szCs w:val="24"/>
        </w:rPr>
        <w:t xml:space="preserve"> for RCTs group, and </w:t>
      </w:r>
      <w:r>
        <w:rPr>
          <w:rFonts w:ascii="Times New Roman" w:hAnsi="Times New Roman" w:eastAsia="宋体"/>
          <w:b/>
          <w:sz w:val="24"/>
          <w:szCs w:val="24"/>
        </w:rPr>
        <w:t xml:space="preserve">Supplementary Figure 5B</w:t>
      </w:r>
      <w:r>
        <w:rPr>
          <w:rFonts w:ascii="Times New Roman" w:hAnsi="Times New Roman" w:eastAsia="宋体"/>
          <w:sz w:val="24"/>
          <w:szCs w:val="24"/>
        </w:rPr>
        <w:t xml:space="preserve"> for non-RCTs group), the type of radiotherapy ( </w:t>
      </w:r>
      <w:r>
        <w:rPr>
          <w:rFonts w:ascii="Times New Roman" w:hAnsi="Times New Roman" w:eastAsia="宋体"/>
          <w:b/>
          <w:sz w:val="24"/>
          <w:szCs w:val="24"/>
        </w:rPr>
        <w:t xml:space="preserve">Supplementary Figure 6A</w:t>
      </w:r>
      <w:r>
        <w:rPr>
          <w:rFonts w:ascii="Times New Roman" w:hAnsi="Times New Roman" w:eastAsia="宋体"/>
          <w:sz w:val="24"/>
          <w:szCs w:val="24"/>
        </w:rPr>
        <w:t xml:space="preserve"> for the 3D-CRT group, </w:t>
      </w:r>
      <w:r>
        <w:rPr>
          <w:rFonts w:ascii="Times New Roman" w:hAnsi="Times New Roman" w:eastAsia="宋体"/>
          <w:b/>
          <w:sz w:val="24"/>
          <w:szCs w:val="24"/>
        </w:rPr>
        <w:t xml:space="preserve">Supplementary Figure 6B</w:t>
      </w:r>
      <w:r>
        <w:rPr>
          <w:rFonts w:ascii="Times New Roman" w:hAnsi="Times New Roman" w:eastAsia="宋体"/>
          <w:sz w:val="24"/>
          <w:szCs w:val="24"/>
        </w:rPr>
        <w:t xml:space="preserve"> for IMRT group, and </w:t>
      </w:r>
      <w:r>
        <w:rPr>
          <w:rFonts w:ascii="Times New Roman" w:hAnsi="Times New Roman" w:eastAsia="宋体"/>
          <w:b/>
          <w:sz w:val="24"/>
          <w:szCs w:val="24"/>
        </w:rPr>
        <w:t xml:space="preserve">Supplementary Figure 6C</w:t>
      </w:r>
      <w:r>
        <w:rPr>
          <w:rFonts w:ascii="Times New Roman" w:hAnsi="Times New Roman" w:eastAsia="宋体"/>
          <w:sz w:val="24"/>
          <w:szCs w:val="24"/>
        </w:rPr>
        <w:t xml:space="preserve"> for 3D-IMRT–mixed group), the type of pathology ( </w:t>
      </w:r>
      <w:r>
        <w:rPr>
          <w:rFonts w:ascii="Times New Roman" w:hAnsi="Times New Roman" w:eastAsia="宋体"/>
          <w:b/>
          <w:sz w:val="24"/>
          <w:szCs w:val="24"/>
        </w:rPr>
        <w:t xml:space="preserve">Supplementary Figure 7A</w:t>
      </w:r>
      <w:r>
        <w:rPr>
          <w:rFonts w:ascii="Times New Roman" w:hAnsi="Times New Roman" w:eastAsia="宋体"/>
          <w:sz w:val="24"/>
          <w:szCs w:val="24"/>
        </w:rPr>
        <w:t xml:space="preserve"> for the ESCC group, and </w:t>
      </w:r>
      <w:r>
        <w:rPr>
          <w:rFonts w:ascii="Times New Roman" w:hAnsi="Times New Roman" w:eastAsia="宋体"/>
          <w:b/>
          <w:sz w:val="24"/>
          <w:szCs w:val="24"/>
        </w:rPr>
        <w:t xml:space="preserve">Supplementary Figure 7B</w:t>
      </w:r>
      <w:r>
        <w:rPr>
          <w:rFonts w:ascii="Times New Roman" w:hAnsi="Times New Roman" w:eastAsia="宋体"/>
          <w:sz w:val="24"/>
          <w:szCs w:val="24"/>
        </w:rPr>
        <w:t xml:space="preserve"> for ESCC-mixed group), and the type of chemotherapy received ( </w:t>
      </w:r>
      <w:r>
        <w:rPr>
          <w:rFonts w:ascii="Times New Roman" w:hAnsi="Times New Roman" w:eastAsia="宋体"/>
          <w:b/>
          <w:sz w:val="24"/>
          <w:szCs w:val="24"/>
        </w:rPr>
        <w:t xml:space="preserve">Supplementary Figure 8A</w:t>
      </w:r>
      <w:r>
        <w:rPr>
          <w:rFonts w:ascii="Times New Roman" w:hAnsi="Times New Roman" w:eastAsia="宋体"/>
          <w:sz w:val="24"/>
          <w:szCs w:val="24"/>
        </w:rPr>
        <w:t xml:space="preserve"> for the CCRT group, </w:t>
      </w:r>
      <w:r>
        <w:rPr>
          <w:rFonts w:ascii="Times New Roman" w:hAnsi="Times New Roman" w:eastAsia="宋体"/>
          <w:b/>
          <w:sz w:val="24"/>
          <w:szCs w:val="24"/>
        </w:rPr>
        <w:t xml:space="preserve">Supplementary Figure 8B</w:t>
      </w:r>
      <w:r>
        <w:rPr>
          <w:rFonts w:ascii="Times New Roman" w:hAnsi="Times New Roman" w:eastAsia="宋体"/>
          <w:sz w:val="24"/>
          <w:szCs w:val="24"/>
        </w:rPr>
        <w:t xml:space="preserve"> for CCRT+CT group, and </w:t>
      </w:r>
      <w:r>
        <w:rPr>
          <w:rFonts w:ascii="Times New Roman" w:hAnsi="Times New Roman" w:eastAsia="宋体"/>
          <w:b/>
          <w:sz w:val="24"/>
          <w:szCs w:val="24"/>
        </w:rPr>
        <w:t xml:space="preserve">Supplementary Figure 8C</w:t>
      </w:r>
      <w:r>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.00001; I2, 71%). As studies by Nakatani et al. ([24]), Q. F. Li et al. ([26]), and Zhu et al. ([22]) contributed significantly and weighted similarly, we excluded these three studies and found that the 3-year OS rates remained unchanged (pooled RR, 0.93; 95% CI, 0.85–1.02; P = .15; moderate certainty), with no significant heterogeneity (P = .15; I2, 31%; </w:t>
      </w:r>
      <w:r>
        <w:rPr>
          <w:rFonts w:ascii="Times New Roman" w:hAnsi="Times New Roman" w:eastAsia="宋体"/>
          <w:b/>
          <w:sz w:val="24"/>
          <w:szCs w:val="24"/>
        </w:rPr>
        <w:t xml:space="preserve">Figure 2C</w:t>
      </w:r>
      <w:r>
        <w:rPr>
          <w:rFonts w:ascii="Times New Roman" w:hAnsi="Times New Roman" w:eastAsia="宋体"/>
          <w:sz w:val="24"/>
          <w:szCs w:val="24"/>
        </w:rPr>
        <w:t xml:space="preserve">). With regard to subgroup, the study type ( </w:t>
      </w:r>
      <w:r>
        <w:rPr>
          <w:rFonts w:ascii="Times New Roman" w:hAnsi="Times New Roman" w:eastAsia="宋体"/>
          <w:b/>
          <w:sz w:val="24"/>
          <w:szCs w:val="24"/>
        </w:rPr>
        <w:t xml:space="preserve">Supplementary Figure 9A</w:t>
      </w:r>
      <w:r>
        <w:rPr>
          <w:rFonts w:ascii="Times New Roman" w:hAnsi="Times New Roman" w:eastAsia="宋体"/>
          <w:sz w:val="24"/>
          <w:szCs w:val="24"/>
        </w:rPr>
        <w:t xml:space="preserve"> for RCTs group, and </w:t>
      </w:r>
      <w:r>
        <w:rPr>
          <w:rFonts w:ascii="Times New Roman" w:hAnsi="Times New Roman" w:eastAsia="宋体"/>
          <w:b/>
          <w:sz w:val="24"/>
          <w:szCs w:val="24"/>
        </w:rPr>
        <w:t xml:space="preserve">Supplementary Figure 9B</w:t>
      </w:r>
      <w:r>
        <w:rPr>
          <w:rFonts w:ascii="Times New Roman" w:hAnsi="Times New Roman" w:eastAsia="宋体"/>
          <w:sz w:val="24"/>
          <w:szCs w:val="24"/>
        </w:rPr>
        <w:t xml:space="preserve"> for non-RCTs group), the type of radiotherapy ( </w:t>
      </w:r>
      <w:r>
        <w:rPr>
          <w:rFonts w:ascii="Times New Roman" w:hAnsi="Times New Roman" w:eastAsia="宋体"/>
          <w:b/>
          <w:sz w:val="24"/>
          <w:szCs w:val="24"/>
        </w:rPr>
        <w:t xml:space="preserve">Supplementary Figure 10A</w:t>
      </w:r>
      <w:r>
        <w:rPr>
          <w:rFonts w:ascii="Times New Roman" w:hAnsi="Times New Roman" w:eastAsia="宋体"/>
          <w:sz w:val="24"/>
          <w:szCs w:val="24"/>
        </w:rPr>
        <w:t xml:space="preserve"> for the 3D-CRT group, </w:t>
      </w:r>
      <w:r>
        <w:rPr>
          <w:rFonts w:ascii="Times New Roman" w:hAnsi="Times New Roman" w:eastAsia="宋体"/>
          <w:b/>
          <w:sz w:val="24"/>
          <w:szCs w:val="24"/>
        </w:rPr>
        <w:t xml:space="preserve">Supplementary Figure 10B</w:t>
      </w:r>
      <w:r>
        <w:rPr>
          <w:rFonts w:ascii="Times New Roman" w:hAnsi="Times New Roman" w:eastAsia="宋体"/>
          <w:sz w:val="24"/>
          <w:szCs w:val="24"/>
        </w:rPr>
        <w:t xml:space="preserve"> for IMRT group, and </w:t>
      </w:r>
      <w:r>
        <w:rPr>
          <w:rFonts w:ascii="Times New Roman" w:hAnsi="Times New Roman" w:eastAsia="宋体"/>
          <w:b/>
          <w:sz w:val="24"/>
          <w:szCs w:val="24"/>
        </w:rPr>
        <w:t xml:space="preserve">Supplementary Figure 10C</w:t>
      </w:r>
      <w:r>
        <w:rPr>
          <w:rFonts w:ascii="Times New Roman" w:hAnsi="Times New Roman" w:eastAsia="宋体"/>
          <w:sz w:val="24"/>
          <w:szCs w:val="24"/>
        </w:rPr>
        <w:t xml:space="preserve"> for 3D-IMRT–mixed group), the type of pathology ( </w:t>
      </w:r>
      <w:r>
        <w:rPr>
          <w:rFonts w:ascii="Times New Roman" w:hAnsi="Times New Roman" w:eastAsia="宋体"/>
          <w:b/>
          <w:sz w:val="24"/>
          <w:szCs w:val="24"/>
        </w:rPr>
        <w:t xml:space="preserve">Supplementary Figure 11A</w:t>
      </w:r>
      <w:r>
        <w:rPr>
          <w:rFonts w:ascii="Times New Roman" w:hAnsi="Times New Roman" w:eastAsia="宋体"/>
          <w:sz w:val="24"/>
          <w:szCs w:val="24"/>
        </w:rPr>
        <w:t xml:space="preserve"> for the ESCC group, and </w:t>
      </w:r>
      <w:r>
        <w:rPr>
          <w:rFonts w:ascii="Times New Roman" w:hAnsi="Times New Roman" w:eastAsia="宋体"/>
          <w:b/>
          <w:sz w:val="24"/>
          <w:szCs w:val="24"/>
        </w:rPr>
        <w:t xml:space="preserve">Supplementary Figure 11B</w:t>
      </w:r>
      <w:r>
        <w:rPr>
          <w:rFonts w:ascii="Times New Roman" w:hAnsi="Times New Roman" w:eastAsia="宋体"/>
          <w:sz w:val="24"/>
          <w:szCs w:val="24"/>
        </w:rPr>
        <w:t xml:space="preserve"> for ESCC-mixed group), and the type of chemotherapy received ( </w:t>
      </w:r>
      <w:r>
        <w:rPr>
          <w:rFonts w:ascii="Times New Roman" w:hAnsi="Times New Roman" w:eastAsia="宋体"/>
          <w:b/>
          <w:sz w:val="24"/>
          <w:szCs w:val="24"/>
        </w:rPr>
        <w:t xml:space="preserve">Supplementary Figure 12A</w:t>
      </w:r>
      <w:r>
        <w:rPr>
          <w:rFonts w:ascii="Times New Roman" w:hAnsi="Times New Roman" w:eastAsia="宋体"/>
          <w:sz w:val="24"/>
          <w:szCs w:val="24"/>
        </w:rPr>
        <w:t xml:space="preserve"> for the CCRT group, </w:t>
      </w:r>
      <w:r>
        <w:rPr>
          <w:rFonts w:ascii="Times New Roman" w:hAnsi="Times New Roman" w:eastAsia="宋体"/>
          <w:b/>
          <w:sz w:val="24"/>
          <w:szCs w:val="24"/>
        </w:rPr>
        <w:t xml:space="preserve">Supplementary Figure 12B</w:t>
      </w:r>
      <w:r>
        <w:rPr>
          <w:rFonts w:ascii="Times New Roman" w:hAnsi="Times New Roman" w:eastAsia="宋体"/>
          <w:sz w:val="24"/>
          <w:szCs w:val="24"/>
        </w:rPr>
        <w:t xml:space="preserve"> for CCRT+CT group, and </w:t>
      </w:r>
      <w:r>
        <w:rPr>
          <w:rFonts w:ascii="Times New Roman" w:hAnsi="Times New Roman" w:eastAsia="宋体"/>
          <w:b/>
          <w:sz w:val="24"/>
          <w:szCs w:val="24"/>
        </w:rPr>
        <w:t xml:space="preserve">Supplementary Figure 12C</w:t>
      </w:r>
      <w:r>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.00001; I2, 74%). Subsequently, we excluded the study by Nakatani et al. ([24]) and found that the IFI group had a significant advantage over the ENI group in terms of 5-year OS rates (pooled RR, 0.78; 95% CI, 0.68–0.90; P = .0004; high certainty; </w:t>
      </w:r>
      <w:r>
        <w:rPr>
          <w:rFonts w:ascii="Times New Roman" w:hAnsi="Times New Roman" w:eastAsia="宋体"/>
          <w:b/>
          <w:sz w:val="24"/>
          <w:szCs w:val="24"/>
        </w:rPr>
        <w:t xml:space="preserve">Figure 2D</w:t>
      </w:r>
      <w:r>
        <w:rPr>
          <w:rFonts w:ascii="Times New Roman" w:hAnsi="Times New Roman" w:eastAsia="宋体"/>
          <w:sz w:val="24"/>
          <w:szCs w:val="24"/>
        </w:rPr>
        <w:t xml:space="preserve">), with no significant heterogeneity (P = .31; I2, 14%). With regard to subgroup, the type of radiotherapy, the IFI group had a significant advantage over the ENI group in the IMRT subgroup ( </w:t>
      </w:r>
      <w:r>
        <w:rPr>
          <w:rFonts w:ascii="Times New Roman" w:hAnsi="Times New Roman" w:eastAsia="宋体"/>
          <w:b/>
          <w:sz w:val="24"/>
          <w:szCs w:val="24"/>
        </w:rPr>
        <w:t xml:space="preserve">Supplementary Figure 13A</w:t>
      </w:r>
      <w:r>
        <w:rPr>
          <w:rFonts w:ascii="Times New Roman" w:hAnsi="Times New Roman" w:eastAsia="宋体"/>
          <w:sz w:val="24"/>
          <w:szCs w:val="24"/>
        </w:rPr>
        <w:t xml:space="preserve">), whereas no differences were observed in the 3D-IMRT–mixed subgroup regarding the 5-year OS rate ( </w:t>
      </w:r>
      <w:r>
        <w:rPr>
          <w:rFonts w:ascii="Times New Roman" w:hAnsi="Times New Roman" w:eastAsia="宋体"/>
          <w:b/>
          <w:sz w:val="24"/>
          <w:szCs w:val="24"/>
        </w:rPr>
        <w:t xml:space="preserve">Supplementary Figure 13B</w:t>
      </w:r>
      <w:r>
        <w:rPr>
          <w:rFonts w:ascii="Times New Roman" w:hAnsi="Times New Roman" w:eastAsia="宋体"/>
          <w:sz w:val="24"/>
          <w:szCs w:val="24"/>
        </w:rPr>
        <w:t xml:space="preserve">). With regard to subgroup, the type of pathology, the ESCC-mixed subgroup ( </w:t>
      </w:r>
      <w:r>
        <w:rPr>
          <w:rFonts w:ascii="Times New Roman" w:hAnsi="Times New Roman" w:eastAsia="宋体"/>
          <w:b/>
          <w:sz w:val="24"/>
          <w:szCs w:val="24"/>
        </w:rPr>
        <w:t xml:space="preserve">Supplementary Figure 14B</w:t>
      </w:r>
      <w:r>
        <w:rPr>
          <w:rFonts w:ascii="Times New Roman" w:hAnsi="Times New Roman" w:eastAsia="宋体"/>
          <w:sz w:val="24"/>
          <w:szCs w:val="24"/>
        </w:rPr>
        <w:t xml:space="preserve">) showed a significant 5-year OS benefit but not the ESCC subgroup; however, obvious heterogeneities were found among these studies (P = .0003; I2, 73%). Therefore, we excluded the study by Nakatani et al. ([24]) and found that the IFI group had an advantage over the ENI group in 5-year OS rates, with no significant heterogeneity ( </w:t>
      </w:r>
      <w:r>
        <w:rPr>
          <w:rFonts w:ascii="Times New Roman" w:hAnsi="Times New Roman" w:eastAsia="宋体"/>
          <w:b/>
          <w:sz w:val="24"/>
          <w:szCs w:val="24"/>
        </w:rPr>
        <w:t xml:space="preserve">Supplementary Figure 14A</w:t>
      </w:r>
      <w:r>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.03; I2, 53%). Therefore, we excluded the study by Lyu et al. ([25]) and found that IFI demonstrated a significant decrease in the incidence of grade ≥2 AE compared with ENI (pooled RR, 0.79; 95% CI, 0.68–0.91; P = .001; high certainty; </w:t>
      </w:r>
      <w:r>
        <w:rPr>
          <w:rFonts w:ascii="Times New Roman" w:hAnsi="Times New Roman" w:eastAsia="宋体"/>
          <w:b/>
          <w:sz w:val="24"/>
          <w:szCs w:val="24"/>
        </w:rPr>
        <w:t xml:space="preserve">Figure 3A</w:t>
      </w:r>
      <w:r>
        <w:rPr>
          <w:rFonts w:ascii="Times New Roman" w:hAnsi="Times New Roman" w:eastAsia="宋体"/>
          <w:sz w:val="24"/>
          <w:szCs w:val="24"/>
        </w:rPr>
        <w:t xml:space="preserve">), with no obvious heterogeneity (P = .33;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Pr>
          <w:rFonts w:ascii="Times New Roman" w:hAnsi="Times New Roman" w:eastAsia="宋体"/>
          <w:b/>
          <w:sz w:val="24"/>
          <w:szCs w:val="24"/>
        </w:rPr>
        <w:t xml:space="preserve">Supplementary Figure 15A</w:t>
      </w:r>
      <w:r>
        <w:rPr>
          <w:rFonts w:ascii="Times New Roman" w:hAnsi="Times New Roman" w:eastAsia="宋体"/>
          <w:sz w:val="24"/>
          <w:szCs w:val="24"/>
        </w:rPr>
        <w:t xml:space="preserve">), similar to that of the non-RCT group ( </w:t>
      </w:r>
      <w:r>
        <w:rPr>
          <w:rFonts w:ascii="Times New Roman" w:hAnsi="Times New Roman" w:eastAsia="宋体"/>
          <w:b/>
          <w:sz w:val="24"/>
          <w:szCs w:val="24"/>
        </w:rPr>
        <w:t xml:space="preserve">Supplementary Figure 15B</w:t>
      </w:r>
      <w:r>
        <w:rPr>
          <w:rFonts w:ascii="Times New Roman" w:hAnsi="Times New Roman" w:eastAsia="宋体"/>
          <w:sz w:val="24"/>
          <w:szCs w:val="24"/>
        </w:rPr>
        <w:t xml:space="preserve">). With regard to subgroup, the type of radiotherapy ( </w:t>
      </w:r>
      <w:r>
        <w:rPr>
          <w:rFonts w:ascii="Times New Roman" w:hAnsi="Times New Roman" w:eastAsia="宋体"/>
          <w:b/>
          <w:sz w:val="24"/>
          <w:szCs w:val="24"/>
        </w:rPr>
        <w:t xml:space="preserve">Supplementary Figure 16A</w:t>
      </w:r>
      <w:r>
        <w:rPr>
          <w:rFonts w:ascii="Times New Roman" w:hAnsi="Times New Roman" w:eastAsia="宋体"/>
          <w:sz w:val="24"/>
          <w:szCs w:val="24"/>
        </w:rPr>
        <w:t xml:space="preserve"> for the 3D-CRT group, and </w:t>
      </w:r>
      <w:r>
        <w:rPr>
          <w:rFonts w:ascii="Times New Roman" w:hAnsi="Times New Roman" w:eastAsia="宋体"/>
          <w:b/>
          <w:sz w:val="24"/>
          <w:szCs w:val="24"/>
        </w:rPr>
        <w:t xml:space="preserve">Supplementary Figure 16B</w:t>
      </w:r>
      <w:r>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.03; I2, 56%). Hence, we removed Shen et al. ([42]) and found that the results were unchanged (pooled RR, 0.83; 95% CI, 0.66–1.04; P = .10; high certainty; </w:t>
      </w:r>
      <w:r>
        <w:rPr>
          <w:rFonts w:ascii="Times New Roman" w:hAnsi="Times New Roman" w:eastAsia="宋体"/>
          <w:b/>
          <w:sz w:val="24"/>
          <w:szCs w:val="24"/>
        </w:rPr>
        <w:t xml:space="preserve">Figure 3B</w:t>
      </w:r>
      <w:r>
        <w:rPr>
          <w:rFonts w:ascii="Times New Roman" w:hAnsi="Times New Roman" w:eastAsia="宋体"/>
          <w:sz w:val="24"/>
          <w:szCs w:val="24"/>
        </w:rPr>
        <w:t xml:space="preserve">). With regard to subgroup of the study type, the IFI group showed a significant decrease in the incidence in RCTs ( </w:t>
      </w:r>
      <w:r>
        <w:rPr>
          <w:rFonts w:ascii="Times New Roman" w:hAnsi="Times New Roman" w:eastAsia="宋体"/>
          <w:b/>
          <w:sz w:val="24"/>
          <w:szCs w:val="24"/>
        </w:rPr>
        <w:t xml:space="preserve">Supplementary Figure 17A</w:t>
      </w:r>
      <w:r>
        <w:rPr>
          <w:rFonts w:ascii="Times New Roman" w:hAnsi="Times New Roman" w:eastAsia="宋体"/>
          <w:sz w:val="24"/>
          <w:szCs w:val="24"/>
        </w:rPr>
        <w:t xml:space="preserve">), but not in non-RCTs ( </w:t>
      </w:r>
      <w:r>
        <w:rPr>
          <w:rFonts w:ascii="Times New Roman" w:hAnsi="Times New Roman" w:eastAsia="宋体"/>
          <w:b/>
          <w:sz w:val="24"/>
          <w:szCs w:val="24"/>
        </w:rPr>
        <w:t xml:space="preserve">Supplementary Figure 17B</w:t>
      </w:r>
      <w:r>
        <w:rPr>
          <w:rFonts w:ascii="Times New Roman" w:hAnsi="Times New Roman" w:eastAsia="宋体"/>
          <w:sz w:val="24"/>
          <w:szCs w:val="24"/>
        </w:rPr>
        <w:t xml:space="preserve">). With regard to subgroup, the type of radiotherapy ( </w:t>
      </w:r>
      <w:r>
        <w:rPr>
          <w:rFonts w:ascii="Times New Roman" w:hAnsi="Times New Roman" w:eastAsia="宋体"/>
          <w:b/>
          <w:sz w:val="24"/>
          <w:szCs w:val="24"/>
        </w:rPr>
        <w:t xml:space="preserve">Supplementary Figure 18A</w:t>
      </w:r>
      <w:r>
        <w:rPr>
          <w:rFonts w:ascii="Times New Roman" w:hAnsi="Times New Roman" w:eastAsia="宋体"/>
          <w:sz w:val="24"/>
          <w:szCs w:val="24"/>
        </w:rPr>
        <w:t xml:space="preserve"> for the 3D-CRT group, and </w:t>
      </w:r>
      <w:r>
        <w:rPr>
          <w:rFonts w:ascii="Times New Roman" w:hAnsi="Times New Roman" w:eastAsia="宋体"/>
          <w:b/>
          <w:sz w:val="24"/>
          <w:szCs w:val="24"/>
        </w:rPr>
        <w:t xml:space="preserve">Supplementary Figure 18B</w:t>
      </w:r>
      <w:r>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Pr>
          <w:rFonts w:ascii="Times New Roman" w:hAnsi="Times New Roman" w:eastAsia="宋体"/>
          <w:sz w:val="24"/>
          <w:szCs w:val="24"/>
        </w:rPr>
        <w:t xml:space="preserve">Overall, 11 studies ([22], [26], [29], [31], [32], [37], [38], [40], [41], [43], [44]) analyzed grade ≥3 acute esophagitis (AE) ( </w:t>
      </w:r>
      <w:r>
        <w:rPr>
          <w:rFonts w:ascii="Times New Roman" w:hAnsi="Times New Roman" w:eastAsia="宋体"/>
          <w:b/>
          <w:sz w:val="24"/>
          <w:szCs w:val="24"/>
        </w:rPr>
        <w:t xml:space="preserve">Figure 3C</w:t>
      </w:r>
      <w:r>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.00001; high certainty) with no heterogeneity (P = .32; I2, 14%). With regard to subgroup, the type of radiotherapy, the IFI group demonstrated a significant reduction in the incidence in the 3D-CRT subgroup ( </w:t>
      </w:r>
      <w:r>
        <w:rPr>
          <w:rFonts w:ascii="Times New Roman" w:hAnsi="Times New Roman" w:eastAsia="宋体"/>
          <w:b/>
          <w:sz w:val="24"/>
          <w:szCs w:val="24"/>
        </w:rPr>
        <w:t xml:space="preserve">Supplementary Figure 20A</w:t>
      </w:r>
      <w:r>
        <w:rPr>
          <w:rFonts w:ascii="Times New Roman" w:hAnsi="Times New Roman" w:eastAsia="宋体"/>
          <w:sz w:val="24"/>
          <w:szCs w:val="24"/>
        </w:rPr>
        <w:t xml:space="preserve">) and 3D-IMRT–mixed subgroup ( </w:t>
      </w:r>
      <w:r>
        <w:rPr>
          <w:rFonts w:ascii="Times New Roman" w:hAnsi="Times New Roman" w:eastAsia="宋体"/>
          <w:b/>
          <w:sz w:val="24"/>
          <w:szCs w:val="24"/>
        </w:rPr>
        <w:t xml:space="preserve">Supplementary Figure 20C</w:t>
      </w:r>
      <w:r>
        <w:rPr>
          <w:rFonts w:ascii="Times New Roman" w:hAnsi="Times New Roman" w:eastAsia="宋体"/>
          <w:sz w:val="24"/>
          <w:szCs w:val="24"/>
        </w:rPr>
        <w:t xml:space="preserve">), whereas there was no difference in the IMRT subgroup ( </w:t>
      </w:r>
      <w:r>
        <w:rPr>
          <w:rFonts w:ascii="Times New Roman" w:hAnsi="Times New Roman" w:eastAsia="宋体"/>
          <w:b/>
          <w:sz w:val="24"/>
          <w:szCs w:val="24"/>
        </w:rPr>
        <w:t xml:space="preserve">Supplementary Figure 20B</w:t>
      </w:r>
      <w:r>
        <w:rPr>
          <w:rFonts w:ascii="Times New Roman" w:hAnsi="Times New Roman" w:eastAsia="宋体"/>
          <w:sz w:val="24"/>
          <w:szCs w:val="24"/>
        </w:rPr>
        <w:t xml:space="preserve">). With regard to subgroup, the study type ( </w:t>
      </w:r>
      <w:r>
        <w:rPr>
          <w:rFonts w:ascii="Times New Roman" w:hAnsi="Times New Roman" w:eastAsia="宋体"/>
          <w:b/>
          <w:sz w:val="24"/>
          <w:szCs w:val="24"/>
        </w:rPr>
        <w:t xml:space="preserve">Supplementary Figure 19A</w:t>
      </w:r>
      <w:r>
        <w:rPr>
          <w:rFonts w:ascii="Times New Roman" w:hAnsi="Times New Roman" w:eastAsia="宋体"/>
          <w:sz w:val="24"/>
          <w:szCs w:val="24"/>
        </w:rPr>
        <w:t xml:space="preserve"> for RCTs group, and </w:t>
      </w:r>
      <w:r>
        <w:rPr>
          <w:rFonts w:ascii="Times New Roman" w:hAnsi="Times New Roman" w:eastAsia="宋体"/>
          <w:b/>
          <w:sz w:val="24"/>
          <w:szCs w:val="24"/>
        </w:rPr>
        <w:t xml:space="preserve">Supplementary Figure 19B</w:t>
      </w:r>
      <w:r>
        <w:rPr>
          <w:rFonts w:ascii="Times New Roman" w:hAnsi="Times New Roman" w:eastAsia="宋体"/>
          <w:sz w:val="24"/>
          <w:szCs w:val="24"/>
        </w:rPr>
        <w:t xml:space="preserve"> for non-RCTs group), and the type of pathology ( </w:t>
      </w:r>
      <w:r>
        <w:rPr>
          <w:rFonts w:ascii="Times New Roman" w:hAnsi="Times New Roman" w:eastAsia="宋体"/>
          <w:b/>
          <w:sz w:val="24"/>
          <w:szCs w:val="24"/>
        </w:rPr>
        <w:t xml:space="preserve">Supplementary Figure 21A</w:t>
      </w:r>
      <w:r>
        <w:rPr>
          <w:rFonts w:ascii="Times New Roman" w:hAnsi="Times New Roman" w:eastAsia="宋体"/>
          <w:sz w:val="24"/>
          <w:szCs w:val="24"/>
        </w:rPr>
        <w:t xml:space="preserve"> for the ESCC group, and </w:t>
      </w:r>
      <w:r>
        <w:rPr>
          <w:rFonts w:ascii="Times New Roman" w:hAnsi="Times New Roman" w:eastAsia="宋体"/>
          <w:b/>
          <w:sz w:val="24"/>
          <w:szCs w:val="24"/>
        </w:rPr>
        <w:t xml:space="preserve">Supplementary Figure 21B</w:t>
      </w:r>
      <w:r>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Pr>
          <w:rFonts w:ascii="Times New Roman" w:hAnsi="Times New Roman" w:eastAsia="宋体"/>
          <w:sz w:val="24"/>
          <w:szCs w:val="24"/>
        </w:rPr>
        <w:t xml:space="preserve">Ten studies ([22], [26], [29], [31], [37], [38], [40], [41], [43], [44]) analyzed grade ≥3 acute pneumonia (AP) ( </w:t>
      </w:r>
      <w:r>
        <w:rPr>
          <w:rFonts w:ascii="Times New Roman" w:hAnsi="Times New Roman" w:eastAsia="宋体"/>
          <w:b/>
          <w:sz w:val="24"/>
          <w:szCs w:val="24"/>
        </w:rPr>
        <w:t xml:space="preserve">Figure 3D</w:t>
      </w:r>
      <w:r>
        <w:rPr>
          <w:rFonts w:ascii="Times New Roman" w:hAnsi="Times New Roman" w:eastAsia="宋体"/>
          <w:sz w:val="24"/>
          <w:szCs w:val="24"/>
        </w:rPr>
        <w:t xml:space="preserve">), including four RCTs ([29], [41], [43], [44]) and six non-RCTs ([22], [26], [31], [37], [38], [40]). No significant differences were observed between two groups (pooled RR, 0.95; 95% CI, 0.63–1.41; P = .78; high certainty) with no heterogeneity (P = .21; I2, 26%). With regard to subgroup, the study type ( </w:t>
      </w:r>
      <w:r>
        <w:rPr>
          <w:rFonts w:ascii="Times New Roman" w:hAnsi="Times New Roman" w:eastAsia="宋体"/>
          <w:b/>
          <w:sz w:val="24"/>
          <w:szCs w:val="24"/>
        </w:rPr>
        <w:t xml:space="preserve">Supplementary Figure 22A</w:t>
      </w:r>
      <w:r>
        <w:rPr>
          <w:rFonts w:ascii="Times New Roman" w:hAnsi="Times New Roman" w:eastAsia="宋体"/>
          <w:sz w:val="24"/>
          <w:szCs w:val="24"/>
        </w:rPr>
        <w:t xml:space="preserve"> for RCTs group, and </w:t>
      </w:r>
      <w:r>
        <w:rPr>
          <w:rFonts w:ascii="Times New Roman" w:hAnsi="Times New Roman" w:eastAsia="宋体"/>
          <w:b/>
          <w:sz w:val="24"/>
          <w:szCs w:val="24"/>
        </w:rPr>
        <w:t xml:space="preserve">Supplementary Figure 22B</w:t>
      </w:r>
      <w:r>
        <w:rPr>
          <w:rFonts w:ascii="Times New Roman" w:hAnsi="Times New Roman" w:eastAsia="宋体"/>
          <w:sz w:val="24"/>
          <w:szCs w:val="24"/>
        </w:rPr>
        <w:t xml:space="preserve"> for non-RCTs group), and the type of radiotherapy ( </w:t>
      </w:r>
      <w:r>
        <w:rPr>
          <w:rFonts w:ascii="Times New Roman" w:hAnsi="Times New Roman" w:eastAsia="宋体"/>
          <w:b/>
          <w:sz w:val="24"/>
          <w:szCs w:val="24"/>
        </w:rPr>
        <w:t xml:space="preserve">Supplementary Figure 23A</w:t>
      </w:r>
      <w:r>
        <w:rPr>
          <w:rFonts w:ascii="Times New Roman" w:hAnsi="Times New Roman" w:eastAsia="宋体"/>
          <w:sz w:val="24"/>
          <w:szCs w:val="24"/>
        </w:rPr>
        <w:t xml:space="preserve"> for the 3D-CRT group, and </w:t>
      </w:r>
      <w:r>
        <w:rPr>
          <w:rFonts w:ascii="Times New Roman" w:hAnsi="Times New Roman" w:eastAsia="宋体"/>
          <w:b/>
          <w:sz w:val="24"/>
          <w:szCs w:val="24"/>
        </w:rPr>
        <w:t xml:space="preserve">Supplementary Figure 23B</w:t>
      </w:r>
      <w:r>
        <w:rPr>
          <w:rFonts w:ascii="Times New Roman" w:hAnsi="Times New Roman" w:eastAsia="宋体"/>
          <w:sz w:val="24"/>
          <w:szCs w:val="24"/>
        </w:rPr>
        <w:t xml:space="preserve"> for IMRT group), the type of pathology ( </w:t>
      </w:r>
      <w:r>
        <w:rPr>
          <w:rFonts w:ascii="Times New Roman" w:hAnsi="Times New Roman" w:eastAsia="宋体"/>
          <w:b/>
          <w:sz w:val="24"/>
          <w:szCs w:val="24"/>
        </w:rPr>
        <w:t xml:space="preserve">Supplementary Figure 24A</w:t>
      </w:r>
      <w:r>
        <w:rPr>
          <w:rFonts w:ascii="Times New Roman" w:hAnsi="Times New Roman" w:eastAsia="宋体"/>
          <w:sz w:val="24"/>
          <w:szCs w:val="24"/>
        </w:rPr>
        <w:t xml:space="preserve"> for the ESCC group, and </w:t>
      </w:r>
      <w:r>
        <w:rPr>
          <w:rFonts w:ascii="Times New Roman" w:hAnsi="Times New Roman" w:eastAsia="宋体"/>
          <w:b/>
          <w:sz w:val="24"/>
          <w:szCs w:val="24"/>
        </w:rPr>
        <w:t xml:space="preserve">Supplementary Figure 24B</w:t>
      </w:r>
      <w:r>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Pr>
          <w:rFonts w:ascii="Times New Roman" w:hAnsi="Times New Roman" w:eastAsia="宋体"/>
          <w:sz w:val="24"/>
          <w:szCs w:val="24"/>
        </w:rPr>
        <w:t xml:space="preserve">Five studies ([33], [37], [40], [41], [44]) analyzed grade ≥3 late esophagitis (LE) ( </w:t>
      </w:r>
      <w:r>
        <w:rPr>
          <w:rFonts w:ascii="Times New Roman" w:hAnsi="Times New Roman" w:eastAsia="宋体"/>
          <w:b/>
          <w:sz w:val="24"/>
          <w:szCs w:val="24"/>
        </w:rPr>
        <w:t xml:space="preserve">Figure 3E</w:t>
      </w:r>
      <w:r>
        <w:rPr>
          <w:rFonts w:ascii="Times New Roman" w:hAnsi="Times New Roman" w:eastAsia="宋体"/>
          <w:sz w:val="24"/>
          <w:szCs w:val="24"/>
        </w:rPr>
        <w:t xml:space="preserve">), including two RCTs ([41], [44]) and three non-RCTs ([33], [37], [40]). No differences were observed (pooled RR, 0.92; 95% CI, 0.47–1.80; P = .81; high certainty). Furthermore, five studies ([33], [37], [40], [41], [44]) analyzed grade ≥3 late pneumonia (LP) ( </w:t>
      </w:r>
      <w:r>
        <w:rPr>
          <w:rFonts w:ascii="Times New Roman" w:hAnsi="Times New Roman" w:eastAsia="宋体"/>
          <w:b/>
          <w:sz w:val="24"/>
          <w:szCs w:val="24"/>
        </w:rPr>
        <w:t xml:space="preserve">Figure 3F</w:t>
      </w:r>
      <w:r>
        <w:rPr>
          <w:rFonts w:ascii="Times New Roman" w:hAnsi="Times New Roman" w:eastAsia="宋体"/>
          <w:sz w:val="24"/>
          <w:szCs w:val="24"/>
        </w:rPr>
        <w:t xml:space="preserve">), including two RCTs ([41], [44]) and three non-RCTs ([33], [37], [40]), and no differences were observed (pooled RR, 0.78; 95% CI, 0.42–1.42; P = .41;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.0004; high certainty; </w:t>
      </w:r>
      <w:r>
        <w:rPr>
          <w:rFonts w:ascii="Times New Roman" w:hAnsi="Times New Roman" w:eastAsia="宋体"/>
          <w:b/>
          <w:sz w:val="24"/>
          <w:szCs w:val="24"/>
        </w:rPr>
        <w:t xml:space="preserve">Figure 4A</w:t>
      </w:r>
      <w:r>
        <w:rPr>
          <w:rFonts w:ascii="Times New Roman" w:hAnsi="Times New Roman" w:eastAsia="宋体"/>
          <w:sz w:val="24"/>
          <w:szCs w:val="24"/>
        </w:rPr>
        <w:t xml:space="preserve">; 3-year PFS: pooled RR, 0.86; 95% CI, 0.78–0.96; P = .007; moderate certainty; </w:t>
      </w:r>
      <w:r>
        <w:rPr>
          <w:rFonts w:ascii="Times New Roman" w:hAnsi="Times New Roman" w:eastAsia="宋体"/>
          <w:b/>
          <w:sz w:val="24"/>
          <w:szCs w:val="24"/>
        </w:rPr>
        <w:t xml:space="preserve">Figure 4C</w:t>
      </w:r>
      <w:r>
        <w:rPr>
          <w:rFonts w:ascii="Times New Roman" w:hAnsi="Times New Roman" w:eastAsia="宋体"/>
          <w:sz w:val="24"/>
          <w:szCs w:val="24"/>
        </w:rPr>
        <w:t xml:space="preserve">). No differences were observed at 2- and 5-year PFS rates (2-year PFS: pooled RR, 0.92; 95% CI, 0.84–1.01; P = .09; high certainty; </w:t>
      </w:r>
      <w:r>
        <w:rPr>
          <w:rFonts w:ascii="Times New Roman" w:hAnsi="Times New Roman" w:eastAsia="宋体"/>
          <w:b/>
          <w:sz w:val="24"/>
          <w:szCs w:val="24"/>
        </w:rPr>
        <w:t xml:space="preserve">Figure 4B</w:t>
      </w:r>
      <w:r>
        <w:rPr>
          <w:rFonts w:ascii="Times New Roman" w:hAnsi="Times New Roman" w:eastAsia="宋体"/>
          <w:sz w:val="24"/>
          <w:szCs w:val="24"/>
        </w:rPr>
        <w:t xml:space="preserve">). However, obvious heterogeneities were found among these studies at 5-year PFS rate (P &lt; .0001; I2, 71%). Subsequently, we excluded the study by Nakatani et al. ([24]) and re-evaluated the 5-year PFS rate. We showed that the IFI group had an advantage over the ENI group (pooled RR, 0.81; 95% CI, 0.70–0.93; P = .003; high certainty; </w:t>
      </w:r>
      <w:r>
        <w:rPr>
          <w:rFonts w:ascii="Times New Roman" w:hAnsi="Times New Roman" w:eastAsia="宋体"/>
          <w:b/>
          <w:sz w:val="24"/>
          <w:szCs w:val="24"/>
        </w:rPr>
        <w:t xml:space="preserve">Figure 4D</w:t>
      </w:r>
      <w:r>
        <w:rPr>
          <w:rFonts w:ascii="Times New Roman" w:hAnsi="Times New Roman" w:eastAsia="宋体"/>
          <w:sz w:val="24"/>
          <w:szCs w:val="24"/>
        </w:rPr>
        <w:t xml:space="preserve">) with no heterogeneity (P = .40;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.04; moderate certainty; </w:t>
      </w:r>
      <w:r>
        <w:rPr>
          <w:rFonts w:ascii="Times New Roman" w:hAnsi="Times New Roman" w:eastAsia="宋体"/>
          <w:b/>
          <w:sz w:val="24"/>
          <w:szCs w:val="24"/>
        </w:rPr>
        <w:t xml:space="preserve">Figure 5B</w:t>
      </w:r>
      <w:r>
        <w:rPr>
          <w:rFonts w:ascii="Times New Roman" w:hAnsi="Times New Roman" w:eastAsia="宋体"/>
          <w:sz w:val="24"/>
          <w:szCs w:val="24"/>
        </w:rPr>
        <w:t xml:space="preserve">; 3-year LCR: pooled RR, 0.87; 95% CI, 0.76–1.00; P = .04; high certainty; </w:t>
      </w:r>
      <w:r>
        <w:rPr>
          <w:rFonts w:ascii="Times New Roman" w:hAnsi="Times New Roman" w:eastAsia="宋体"/>
          <w:b/>
          <w:sz w:val="24"/>
          <w:szCs w:val="24"/>
        </w:rPr>
        <w:t xml:space="preserve">Figure 5C</w:t>
      </w:r>
      <w:r>
        <w:rPr>
          <w:rFonts w:ascii="Times New Roman" w:hAnsi="Times New Roman" w:eastAsia="宋体"/>
          <w:sz w:val="24"/>
          <w:szCs w:val="24"/>
        </w:rPr>
        <w:t xml:space="preserve">), while no differences at 1-year LCR (pooled RR, 0.94; 95% CI, 0.85–1.02; P = .15; high certainty; </w:t>
      </w:r>
      <w:r>
        <w:rPr>
          <w:rFonts w:ascii="Times New Roman" w:hAnsi="Times New Roman" w:eastAsia="宋体"/>
          <w:b/>
          <w:sz w:val="24"/>
          <w:szCs w:val="24"/>
        </w:rPr>
        <w:t xml:space="preserve">Figure 5A</w:t>
      </w:r>
      <w:r>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