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Pr>
          <w:rFonts w:ascii="Times New Roman" w:hAnsi="Times New Roman" w:eastAsia="宋体"/>
          <w:i/>
          <w:sz w:val="24"/>
          <w:szCs w:val="24"/>
        </w:rPr>
        <w:t xml:space="preserve">P</w:t>
      </w:r>
      <w:r>
        <w:rPr>
          <w:rFonts w:ascii="Times New Roman" w:hAnsi="Times New Roman" w:eastAsia="宋体"/>
          <w:sz w:val="24"/>
          <w:szCs w:val="24"/>
        </w:rPr>
        <w:t xml:space="preserve"> = 0.20; Figure 2A, Table 2). However, in a preplanned yet exploratory analysis, the DFS significantly differed after stratification according to the number of DLNs and PLNs (HR, 0.75; 95% CI, 0.58-0.98; 2-sided log-rank </w:t>
      </w:r>
      <w:r>
        <w:rPr>
          <w:rFonts w:ascii="Times New Roman" w:hAnsi="Times New Roman" w:eastAsia="宋体"/>
          <w:i/>
          <w:sz w:val="24"/>
          <w:szCs w:val="24"/>
        </w:rPr>
        <w:t xml:space="preserve">P</w:t>
      </w:r>
      <w:r>
        <w:rPr>
          <w:rFonts w:ascii="Times New Roman" w:hAnsi="Times New Roman" w:eastAsia="宋体"/>
          <w:sz w:val="24"/>
          <w:szCs w:val="24"/>
        </w:rPr>
        <w:t xml:space="preserve"> = 0.04).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Pr>
          <w:rFonts w:ascii="Times New Roman" w:hAnsi="Times New Roman" w:eastAsia="宋体"/>
          <w:i/>
          <w:sz w:val="24"/>
          <w:szCs w:val="24"/>
        </w:rPr>
        <w:t xml:space="preserve">P</w:t>
      </w:r>
      <w:r>
        <w:rPr>
          <w:rFonts w:ascii="Times New Roman" w:hAnsi="Times New Roman" w:eastAsia="宋体"/>
          <w:sz w:val="24"/>
          <w:szCs w:val="24"/>
        </w:rPr>
        <w:t xml:space="preserve"> = 0.93; stratified HR, 0.92; 95% CI, 0.61-1.39; 2-sided log-rank </w:t>
      </w:r>
      <w:r>
        <w:rPr>
          <w:rFonts w:ascii="Times New Roman" w:hAnsi="Times New Roman" w:eastAsia="宋体"/>
          <w:i/>
          <w:sz w:val="24"/>
          <w:szCs w:val="24"/>
        </w:rPr>
        <w:t xml:space="preserve">P</w:t>
      </w:r>
      <w:r>
        <w:rPr>
          <w:rFonts w:ascii="Times New Roman" w:hAnsi="Times New Roman" w:eastAsia="宋体"/>
          <w:sz w:val="24"/>
          <w:szCs w:val="24"/>
        </w:rPr>
        <w:t xml:space="preserve"> = 0.70; Figure 2B, Table 2). The 3-year LRFS rates were 66.5% and 59.7%, respectively, with a significant difference between the 2 groups (HR, 0.71; 95% CI, 0.51-0.97; 2-sided </w:t>
      </w:r>
      <w:r>
        <w:rPr>
          <w:rFonts w:ascii="Times New Roman" w:hAnsi="Times New Roman" w:eastAsia="宋体"/>
          <w:i/>
          <w:sz w:val="24"/>
          <w:szCs w:val="24"/>
        </w:rPr>
        <w:t xml:space="preserve">P</w:t>
      </w:r>
      <w:r>
        <w:rPr>
          <w:rFonts w:ascii="Times New Roman" w:hAnsi="Times New Roman" w:eastAsia="宋体"/>
          <w:sz w:val="24"/>
          <w:szCs w:val="24"/>
        </w:rPr>
        <w:t xml:space="preserve"> = 0.03; Table 2). The 3-year DMFS rates were 42.0% and 38.2%, respectively (HR, 0.94; 95% CI, 0.72-1.22; 2-sided </w:t>
      </w:r>
      <w:r>
        <w:rPr>
          <w:rFonts w:ascii="Times New Roman" w:hAnsi="Times New Roman" w:eastAsia="宋体"/>
          <w:i/>
          <w:sz w:val="24"/>
          <w:szCs w:val="24"/>
        </w:rPr>
        <w:t xml:space="preserve">P</w:t>
      </w:r>
      <w:r>
        <w:rPr>
          <w:rFonts w:ascii="Times New Roman" w:hAnsi="Times New Roman" w:eastAsia="宋体"/>
          <w:sz w:val="24"/>
          <w:szCs w:val="24"/>
        </w:rPr>
        <w:t xml:space="preserve"> = 0.62; Table 2).</w:t>
      </w:r>
    </w:p>
    <w:p w14:paraId="1A2B3CF9" w14:textId="77777777" w:rsidR="00A1B2C3" w:rsidRDefault="00A1B2C3">
      <w:pPr>
        <w:spacing w:line="480" w:lineRule="auto"/>
        <w:ind w:firstLine="480"/>
        <w:jc w:val="both"/>
      </w:pPr>
      <w:r>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Pr>
          <w:rFonts w:ascii="Times New Roman" w:hAnsi="Times New Roman" w:eastAsia="宋体"/>
          <w:i/>
          <w:sz w:val="24"/>
          <w:szCs w:val="24"/>
        </w:rPr>
        <w:t xml:space="preserve">P</w:t>
      </w:r>
      <w:r>
        <w:rPr>
          <w:rFonts w:ascii="Times New Roman" w:hAnsi="Times New Roman" w:eastAsia="宋体"/>
          <w:sz w:val="24"/>
          <w:szCs w:val="24"/>
        </w:rPr>
        <w:t xml:space="preserve"> = 0.04;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Pr>
          <w:rFonts w:ascii="Times New Roman" w:hAnsi="Times New Roman" w:eastAsia="宋体"/>
          <w:i/>
          <w:sz w:val="24"/>
          <w:szCs w:val="24"/>
        </w:rPr>
        <w:t xml:space="preserve">P</w:t>
      </w:r>
      <w:r>
        <w:rPr>
          <w:rFonts w:ascii="Times New Roman" w:hAnsi="Times New Roman" w:eastAsia="宋体"/>
          <w:sz w:val="24"/>
          <w:szCs w:val="24"/>
        </w:rPr>
        <w:t xml:space="preserve"> = 0.93).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Pr>
          <w:rFonts w:ascii="Times New Roman" w:hAnsi="Times New Roman" w:eastAsia="宋体"/>
          <w:i/>
          <w:sz w:val="24"/>
          <w:szCs w:val="24"/>
        </w:rPr>
        <w:t xml:space="preserve">P</w:t>
      </w:r>
      <w:r>
        <w:rPr>
          <w:rFonts w:ascii="Times New Roman" w:hAnsi="Times New Roman" w:eastAsia="宋体"/>
          <w:sz w:val="24"/>
          <w:szCs w:val="24"/>
        </w:rPr>
        <w:t xml:space="preserve"> = 0.05; Figure 2C, Table 2) and LRFS (3-year: 71.9% vs 58.4%; HR, 0.56; 95% CI, 0.39-0.80; 2-sided </w:t>
      </w:r>
      <w:r>
        <w:rPr>
          <w:rFonts w:ascii="Times New Roman" w:hAnsi="Times New Roman" w:eastAsia="宋体"/>
          <w:i/>
          <w:sz w:val="24"/>
          <w:szCs w:val="24"/>
        </w:rPr>
        <w:t xml:space="preserve">P</w:t>
      </w:r>
      <w:r>
        <w:rPr>
          <w:rFonts w:ascii="Times New Roman" w:hAnsi="Times New Roman" w:eastAsia="宋体"/>
          <w:sz w:val="24"/>
          <w:szCs w:val="24"/>
        </w:rPr>
        <w:t xml:space="preserve"> = 0.002, Table 2), but not OS (3-year: 82.6% vs 83.1%; HR, 0.83; 95% CI, 0.53-1.30; </w:t>
      </w:r>
      <w:r>
        <w:rPr>
          <w:rFonts w:ascii="Times New Roman" w:hAnsi="Times New Roman" w:eastAsia="宋体"/>
          <w:i/>
          <w:sz w:val="24"/>
          <w:szCs w:val="24"/>
        </w:rPr>
        <w:t xml:space="preserve">P</w:t>
      </w:r>
      <w:r>
        <w:rPr>
          <w:rFonts w:ascii="Times New Roman" w:hAnsi="Times New Roman" w:eastAsia="宋体"/>
          <w:sz w:val="24"/>
          <w:szCs w:val="24"/>
        </w:rPr>
        <w:t xml:space="preserve"> = 0.41; Figure 2D, Table 2) or DMFS (3-year: 43.6% vs 36.4%; HR, 0.85; 95% CI, 0.63-1.14; </w:t>
      </w:r>
      <w:r>
        <w:rPr>
          <w:rFonts w:ascii="Times New Roman" w:hAnsi="Times New Roman" w:eastAsia="宋体"/>
          <w:i/>
          <w:sz w:val="24"/>
          <w:szCs w:val="24"/>
        </w:rPr>
        <w:t xml:space="preserve">P</w:t>
      </w:r>
      <w:r>
        <w:rPr>
          <w:rFonts w:ascii="Times New Roman" w:hAnsi="Times New Roman" w:eastAsia="宋体"/>
          <w:sz w:val="24"/>
          <w:szCs w:val="24"/>
        </w:rPr>
        <w:t xml:space="preserve"> = 0.28;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