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Pr>
          <w:rFonts w:ascii="Times New Roman" w:hAnsi="Times New Roman" w:eastAsia="宋体"/>
          <w:sz w:val="24"/>
          <w:szCs w:val="24"/>
        </w:rPr>
        <w:t xml:space="preserve">The PubMed, Embase, ScienceDirect, and Cochrane Library databases were searched from their inception to 31 July 2021, with no restriction on publication year. The search strategy combined controlled vocabulary (Medical Subject Headings [MeSH] in PubMed, Emtree in Embase) with free-text terms, and was built from three concept blocks combined with the Boolean operator AND: (1) “esophageal” OR “oesophageal”; (2) “carcinoma” OR “cancer” OR “neoplasm”; and (3) “induction chemotherapy” OR “neoadjuvant chemotherapy” OR “consolidation chemotherapy” OR “adjuvant chemoradiotherapy” OR “concurrent chemoradiotherapy” OR “definitive chemoradiotherapy”. Synonyms within each block were combined with OR, and free-text terms were searched in the title, abstract, and keyword fields. Studies were eligible if they enrolled patients with unresectable esophageal cancer, compared induction chemotherapy followed by concurrent chemoradiotherapy (IC-CCRT) or concurrent chemoradiotherapy followed by consolidation chemotherapy (CCRT-CCT) with concurrent chemoradiotherapy alone, reported a hazard ratio (HR) or odds ratio (OR) with 95% confidence interval (CI) or provided data from which these could be calculated, and were randomized controlled trials or cohort studies; the complete inclusion and exclusion criteria are listed in the following section. To identify additional eligible reports, the reference lists of all included studies and of relevant previously published reviews were hand-searched, and forward citation tracking of the included studies was performed. The database searches were limited to studies conducted in human subjects and to articles published in English; no restriction was placed on publication type at the search stage, and letters and conference abstracts were instead removed when eligibility was assessed. Retrieved records were deduplicated, and two investigators independently screened titles and abstracts and then full texts against the eligibility criteria, with disagreements resolved by a third investigator; the number of records identified, screened, and included at each stage is shown in the PRISMA flow diagram (Figure 1).</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