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PubMed, Science Direct, Embase, and Cochrane Library databases were searched from their inception to July 31, 2021. Search keywords included “esophageal or oesophageal” and “carcinoma or cancer or neoplasm” and “induction chemotherapy or neoadjuvant chemotherapy” and “consolidation or adjuvant chemoradiotherapy” and “concurrent or definitive chemoradiotherapy.” Additional papers were retrieved through hand-searching. The search was limited to human subjects and English-language published articles.</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criteria included the following: (1) studies that involved patients who had unresectable EC; (2) studies comparing the effects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exclusion criteria included the following: (1) studies that did not include survival data as endpoints; (2) studies whose patients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After excluding 2,340 articles from a total of 2,350 citations, finally, 10 articles were subjected to our meta-analysis. A detailed study flow diagram is shown in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Among the 10 articles, there were four studies including three retrospective studies and one prospective study that compared IC-CCRT with CCRT and six other retrospective studies that compared CCRT-CCT with CCRT ([6], [12]–[20]) (</w:t>
      </w:r>
      <w:r w:rsidRPr="00C4D5E6">
        <w:rPr>
          <w:b/>
          <w:rFonts w:ascii="Times New Roman" w:hAnsi="Times New Roman" w:eastAsia="宋体"/>
          <w:sz w:val="24"/>
          <w:szCs w:val="24"/>
        </w:rPr>
        <w:t xml:space="preserve">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2</w:t>
      </w:r>
      <w:r w:rsidRPr="00C4D5E6">
        <w:rPr>
          <w:rFonts w:ascii="Times New Roman" w:hAnsi="Times New Roman" w:eastAsia="宋体"/>
          <w:sz w:val="24"/>
          <w:szCs w:val="24"/>
        </w:rPr>
        <w:t xml:space="preserve">). The number of patients within these four studies on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was 836, including 486 esophageal squamous cell carcinoma (ESCC) patients and 350 esophageal adenocarcinoma (EAC) patients. A total of 1,339 patients were included in the six other studies on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whose pathological types were all ESCC.</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and 3-year OS rate (HR 1.065, 95% CI 0.789–1.439; p = 0.680;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CCRT-CCT group had a significant advantage over the CCRT group in 1-year OS rate (HR 0.542, 95% CI 0.410–0.716; p &lt; 0.001;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3-year OS rate (HR 0.786, 95% CI 0.625–0.987; p = 0.039;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The CCRT-CCT group had lower DMR (OR 1.562, 95% CI 1.090–2.240; p = 0.015;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However, no differences were seen between the two groups in 2-year OS rate (HR 0.783, 95% CI 0.600–1.022; p = 0.072;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5-year OS rate (HR 0.923, 95% CI 0.706–1.205; p = 0.555;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LRR (OR 0.899, 95% CI 0.686–1.179; p = 0.441;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sidRPr="00C4D5E6">
        <w:rPr>
          <w:rFonts w:ascii="Times New Roman" w:hAnsi="Times New Roman" w:eastAsia="宋体"/>
          <w:sz w:val="24"/>
          <w:szCs w:val="24"/>
        </w:rPr>
        <w:t xml:space="preserve">Funnel plot was used to evaluate the publication bias. Egger’s regression test was conducted to analyze the symmetry of the funnel plot. None of the articles demonstrated publication bias (p &gt; 0.05) (</w:t>
      </w:r>
      <w:r w:rsidRPr="00C4D5E6">
        <w:rPr>
          <w:b/>
          <w:rFonts w:ascii="Times New Roman" w:hAnsi="Times New Roman" w:eastAsia="宋体"/>
          <w:sz w:val="24"/>
          <w:szCs w:val="24"/>
        </w:rPr>
        <w:t xml:space="preserve">Figures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Tables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evaluated the value of additional IC or CCT in unresectable EC undergoing CCRT. The results showed that the additional IC or CCT may be an important factor affecting short-term survival but not long-term survival. To the best of our knowledge, this is the first meta-analysis to discuss the efficacy of IC in patients with unresectable EC treated with CCRT.</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Pr>
          <w:rFonts w:ascii="Times New Roman" w:hAnsi="Times New Roman" w:eastAsia="宋体"/>
          <w:sz w:val="24"/>
          <w:szCs w:val="24"/>
        </w:rPr>
        <w:t xml:space="preserve">In this meta-analysis, all patients enrolled in the CCRT-CCT </w:t>
      </w:r>
      <w:r>
        <w:rPr>
          <w:rFonts w:ascii="Times New Roman" w:hAnsi="Times New Roman" w:eastAsia="宋体"/>
          <w:i/>
          <w:sz w:val="24"/>
          <w:szCs w:val="24"/>
        </w:rPr>
        <w:t xml:space="preserve">vs</w:t>
      </w:r>
      <w:r>
        <w:rPr>
          <w:rFonts w:ascii="Times New Roman" w:hAnsi="Times New Roman" w:eastAsia="宋体"/>
          <w:sz w:val="24"/>
          <w:szCs w:val="24"/>
        </w:rPr>
        <w:t xml:space="preserve">. CCRT studies had ESCC. Notably, fewer patients developed distant metastases in the CCRT-CCT group than in the CCRT group [15 of 67 (22.4%) </w:t>
      </w:r>
      <w:r>
        <w:rPr>
          <w:rFonts w:ascii="Times New Roman" w:hAnsi="Times New Roman" w:eastAsia="宋体"/>
          <w:i/>
          <w:sz w:val="24"/>
          <w:szCs w:val="24"/>
        </w:rPr>
        <w:t xml:space="preserve">vs</w:t>
      </w:r>
      <w:r>
        <w:rPr>
          <w:rFonts w:ascii="Times New Roman" w:hAnsi="Times New Roman" w:eastAsia="宋体"/>
          <w:sz w:val="24"/>
          <w:szCs w:val="24"/>
        </w:rPr>
        <w:t xml:space="preserve">. 62 of 142 (43.7%), p = 0.003] in the study by Wu et al. ([15]), and median OS was markedly prolonged in the CCRT-CCT group (26.4 months, p = 0.04), whereas the other two studies showed no differences in DMR or OS. To identify patients who might benefit from CCT, Chen et al. ([17]) performed a further analysis according to various prognostic factors, including clinical N stage (N0, N1, and N2) and clinical M stage (M0 and M1), among others; no significant survival differences between CCRT-CCT and CCRT were observed in any subgroup. In our meta-analysis, the addition of CCT reduced the DMR (p = 0.015) and improved the 1- and 3-year OS rates. Koh et al. ([19]) confirmed the positive effect of treatment intensification on survival in ESCC patients receiving definitive CCRT with modern radiotherapy techniques; 45.2% of the patients received radiotherapy with a biologically effective dose (BED) ≥70 Gy. Because radiation doses varied across the included studies, whether additional CCT is the principal factor affecting prognosis warrants further investigation. Likewise, whether patients who respond poorly to CCRT could derive a survival benefit from CCT requires further study. Kim et al. ([24]) classified patients who received CCT after CCRT into “good-risk” and “poor-risk” groups according to factors such as smoking &gt;20 pack-years and dysphagia score &gt;2. In the “good-risk” group, patients who received subsequent CCT had better OS than those who did not (30.4 </w:t>
      </w:r>
      <w:r>
        <w:rPr>
          <w:rFonts w:ascii="Times New Roman" w:hAnsi="Times New Roman" w:eastAsia="宋体"/>
          <w:i/>
          <w:sz w:val="24"/>
          <w:szCs w:val="24"/>
        </w:rPr>
        <w:t xml:space="preserve">vs</w:t>
      </w:r>
      <w:r>
        <w:rPr>
          <w:rFonts w:ascii="Times New Roman" w:hAnsi="Times New Roman" w:eastAsia="宋体"/>
          <w:sz w:val="24"/>
          <w:szCs w:val="24"/>
        </w:rPr>
        <w:t xml:space="preserve">. 12.0 months, p = 0.002), whereas no benefit from CCT was observed in the “poor-risk” group (14.0 </w:t>
      </w:r>
      <w:r>
        <w:rPr>
          <w:rFonts w:ascii="Times New Roman" w:hAnsi="Times New Roman" w:eastAsia="宋体"/>
          <w:i/>
          <w:sz w:val="24"/>
          <w:szCs w:val="24"/>
        </w:rPr>
        <w:t xml:space="preserve">vs</w:t>
      </w:r>
      <w:r>
        <w:rPr>
          <w:rFonts w:ascii="Times New Roman" w:hAnsi="Times New Roman" w:eastAsia="宋体"/>
          <w:sz w:val="24"/>
          <w:szCs w:val="24"/>
        </w:rPr>
        <w:t xml:space="preserve">. 12.0 months, p = 0.828). Given that CCT improved 1- and 3-year but not 2- and 5-year OS in our analysis, these findings are not sufficiently robust, and the value of CCT warrants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