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Pr>
          <w:rFonts w:ascii="Times New Roman" w:hAnsi="Times New Roman" w:eastAsia="宋体"/>
          <w:i/>
          <w:sz w:val="24"/>
          <w:szCs w:val="24"/>
        </w:rPr>
        <w:t xml:space="preserve">P</w:t>
      </w:r>
      <w:r>
        <w:rPr>
          <w:rFonts w:ascii="Times New Roman" w:hAnsi="Times New Roman" w:eastAsia="宋体"/>
          <w:sz w:val="24"/>
          <w:szCs w:val="24"/>
        </w:rPr>
        <w:t xml:space="preserve"> = 0.77; fluorouracil vs carboplatin: HR, 0.94; 95% CI, 0.63-1.40; </w:t>
      </w:r>
      <w:r>
        <w:rPr>
          <w:rFonts w:ascii="Times New Roman" w:hAnsi="Times New Roman" w:eastAsia="宋体"/>
          <w:i/>
          <w:sz w:val="24"/>
          <w:szCs w:val="24"/>
        </w:rPr>
        <w:t xml:space="preserve">P</w:t>
      </w:r>
      <w:r>
        <w:rPr>
          <w:rFonts w:ascii="Times New Roman" w:hAnsi="Times New Roman" w:eastAsia="宋体"/>
          <w:sz w:val="24"/>
          <w:szCs w:val="24"/>
        </w:rPr>
        <w:t xml:space="preserve"> = 0.77)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Pr>
          <w:rFonts w:ascii="Times New Roman" w:hAnsi="Times New Roman" w:eastAsia="宋体"/>
          <w:i/>
          <w:sz w:val="24"/>
          <w:szCs w:val="24"/>
        </w:rPr>
        <w:t xml:space="preserve">P</w:t>
      </w:r>
      <w:r>
        <w:rPr>
          <w:rFonts w:ascii="Times New Roman" w:hAnsi="Times New Roman" w:eastAsia="宋体"/>
          <w:sz w:val="24"/>
          <w:szCs w:val="24"/>
        </w:rPr>
        <w:t xml:space="preserve"> &lt; 0.001), thrombocytopenia (14 events [13.1%] vs 4 [3.7%] for fluorouracil and 5 [4.7%] for carboplatin; </w:t>
      </w:r>
      <w:r>
        <w:rPr>
          <w:rFonts w:ascii="Times New Roman" w:hAnsi="Times New Roman" w:eastAsia="宋体"/>
          <w:i/>
          <w:sz w:val="24"/>
          <w:szCs w:val="24"/>
        </w:rPr>
        <w:t xml:space="preserve">P</w:t>
      </w:r>
      <w:r>
        <w:rPr>
          <w:rFonts w:ascii="Times New Roman" w:hAnsi="Times New Roman" w:eastAsia="宋体"/>
          <w:sz w:val="24"/>
          <w:szCs w:val="24"/>
        </w:rPr>
        <w:t xml:space="preserve"> = 0.01), and gastrointestinal toxic effects, such as grade 2 or higher vomiting (17 events [15.9%] vs 3 [2.8%] for fluorouracil and 5 [4.7%] for carboplatin; </w:t>
      </w:r>
      <w:r>
        <w:rPr>
          <w:rFonts w:ascii="Times New Roman" w:hAnsi="Times New Roman" w:eastAsia="宋体"/>
          <w:i/>
          <w:sz w:val="24"/>
          <w:szCs w:val="24"/>
        </w:rPr>
        <w:t xml:space="preserve">P</w:t>
      </w:r>
      <w:r>
        <w:rPr>
          <w:rFonts w:ascii="Times New Roman" w:hAnsi="Times New Roman" w:eastAsia="宋体"/>
          <w:sz w:val="24"/>
          <w:szCs w:val="24"/>
        </w:rPr>
        <w:t xml:space="preserve"> &lt; 0.001), than the other 2 groups. The fluorouracil and carboplatin group exhibited significantly higher incidence rates than the cisplatin group of grade 2 or higher esophagitis (27.1% [29 events] for cisplatin vs 43.0% [46 events] for fluorouracil and 41.1% [44 events] for carboplatin; </w:t>
      </w:r>
      <w:r>
        <w:rPr>
          <w:rFonts w:ascii="Times New Roman" w:hAnsi="Times New Roman" w:eastAsia="宋体"/>
          <w:i/>
          <w:sz w:val="24"/>
          <w:szCs w:val="24"/>
        </w:rPr>
        <w:t xml:space="preserve">P</w:t>
      </w:r>
      <w:r>
        <w:rPr>
          <w:rFonts w:ascii="Times New Roman" w:hAnsi="Times New Roman" w:eastAsia="宋体"/>
          <w:sz w:val="24"/>
          <w:szCs w:val="24"/>
        </w:rPr>
        <w:t xml:space="preserve"> = 0.03) and pneumonitis (4.7% [5 events] vs 26.2% [28 events] for fluorouracil and 21.5% [22 events] for carboplatin; </w:t>
      </w:r>
      <w:r>
        <w:rPr>
          <w:rFonts w:ascii="Times New Roman" w:hAnsi="Times New Roman" w:eastAsia="宋体"/>
          <w:i/>
          <w:sz w:val="24"/>
          <w:szCs w:val="24"/>
        </w:rPr>
        <w:t xml:space="preserve">P</w:t>
      </w:r>
      <w:r>
        <w:rPr>
          <w:rFonts w:ascii="Times New Roman" w:hAnsi="Times New Roman" w:eastAsia="宋体"/>
          <w:sz w:val="24"/>
          <w:szCs w:val="24"/>
        </w:rPr>
        <w:t xml:space="preserve"> &lt; 0.001).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Pr>
          <w:rFonts w:ascii="Times New Roman" w:hAnsi="Times New Roman" w:eastAsia="宋体"/>
          <w:i/>
          <w:sz w:val="24"/>
          <w:szCs w:val="24"/>
        </w:rPr>
        <w:t xml:space="preserve">P</w:t>
      </w:r>
      <w:r>
        <w:rPr>
          <w:rFonts w:ascii="Times New Roman" w:hAnsi="Times New Roman" w:eastAsia="宋体"/>
          <w:sz w:val="24"/>
          <w:szCs w:val="24"/>
        </w:rPr>
        <w:t xml:space="preserve"> = 0.03),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