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mc="http://schemas.openxmlformats.org/markup-compatibility/2006" mc:Ignorable="w14">
  <w:body>
    <w:p w14:paraId="1A2B3C01" w14:textId="77777777" w:rsidR="00A1B2C3" w:rsidRDefault="00A1B2C3">
      <w:pPr>
        <w:pStyle w:val="Heading1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治疗射血分数降低心力衰竭的随机对照试验</w:t>
      </w:r>
    </w:p>
    <w:p w14:paraId="1A2B3C0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背景</w:t>
      </w:r>
    </w:p>
    <w:p w14:paraId="1A2B3C0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射血分数降低的心力衰竭预后较差，现有治疗仍有未满足的需求。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在既往研究中显示出潜在获益。</w:t>
      </w:r>
    </w:p>
    <w:p w14:paraId="1A2B3C04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方法</w:t>
      </w:r>
    </w:p>
    <w:p w14:paraId="1A2B3C05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本研究为多中心、随机、双盲、安慰剂对照试验。受试者按 1:1 随机分配至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组或安慰剂组。</w:t>
      </w:r>
    </w:p>
    <w:p w14:paraId="1A2B3C0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主要终点为心血管死亡或心衰恶化，次要终点包括全因死亡与生活质量评分。</w:t>
      </w:r>
    </w:p>
    <w:p w14:paraId="1A2B3C07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结果</w:t>
      </w:r>
    </w:p>
    <w:p w14:paraId="1A2B3C08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共纳入 4744 例受试者。安慰剂组中位随访 18 个个月；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组与安慰剂组的严重不良事件发生率分别为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21.4%</w:t>
      </w:r>
      <w:r w:rsidRPr="00C4D5E6">
        <w:rPr>
          <w:rFonts w:ascii="Times New Roman" w:hAnsi="Times New Roman" w:eastAsia="宋体"/>
          <w:sz w:val="24"/>
          <w:szCs w:val="24"/>
        </w:rPr>
        <w:t xml:space="preserve"> 与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25.8%</w:t>
      </w:r>
      <w:r w:rsidRPr="00C4D5E6">
        <w:rPr>
          <w:rFonts w:ascii="Times New Roman" w:hAnsi="Times New Roman" w:eastAsia="宋体"/>
          <w:sz w:val="24"/>
          <w:szCs w:val="24"/>
        </w:rPr>
        <w:t xml:space="preserve">，安慰剂组因不良事件停药更常见。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 w14:paraId="1A2B3C09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基线特征</w:t>
            </w:r>
          </w:p>
        </w:tc>
        <w:tc>
          <w:tcPr>
            <w:tcW w:w="3000" w:type="dxa"/>
          </w:tcPr>
          <w:p w14:paraId="1A2B3C0A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  <w:b/>
                <w:bCs/>
              </w:rPr>
              <w:t xml:space="preserve">达格列净</w:t>
            </w:r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组</w:t>
            </w:r>
          </w:p>
        </w:tc>
        <w:tc>
          <w:tcPr>
            <w:tcW w:w="3000" w:type="dxa"/>
          </w:tcPr>
          <w:p w14:paraId="1A2B3C0B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安慰剂组</w:t>
            </w:r>
          </w:p>
        </w:tc>
      </w:tr>
      <w:tr>
        <w:tc>
          <w:tcPr>
            <w:tcW w:w="3000" w:type="dxa"/>
          </w:tcPr>
          <w:p w14:paraId="1A2B3C0C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年龄（岁）</w:t>
            </w:r>
          </w:p>
        </w:tc>
        <w:tc>
          <w:tcPr>
            <w:tcW w:w="3000" w:type="dxa"/>
          </w:tcPr>
          <w:p w14:paraId="1A2B3C0D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66.2 ± 11.0</w:t>
            </w:r>
          </w:p>
        </w:tc>
        <w:tc>
          <w:tcPr>
            <w:tcW w:w="3000" w:type="dxa"/>
          </w:tcPr>
          <w:p w14:paraId="1A2B3C0E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66.5 ± 10.8</w:t>
            </w:r>
          </w:p>
        </w:tc>
      </w:tr>
      <w:tr>
        <w:tc>
          <w:tcPr>
            <w:tcW w:w="3000" w:type="dxa"/>
          </w:tcPr>
          <w:p w14:paraId="1A2B3C0F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男性（%）</w:t>
            </w:r>
          </w:p>
        </w:tc>
        <w:tc>
          <w:tcPr>
            <w:tcW w:w="3000" w:type="dxa"/>
          </w:tcPr>
          <w:p w14:paraId="1A2B3C10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76.2</w:t>
            </w:r>
          </w:p>
        </w:tc>
        <w:tc>
          <w:tcPr>
            <w:tcW w:w="3000" w:type="dxa"/>
          </w:tcPr>
          <w:p w14:paraId="1A2B3C11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77.0</w:t>
            </w:r>
          </w:p>
        </w:tc>
      </w:tr>
    </w:tbl>
    <w:p w14:paraId="1A2B3C1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讨论</w:t>
      </w:r>
    </w:p>
    <w:p w14:paraId="1A2B3C1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>本研究的主要终点为心血管死亡或心衰恶化；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>达格列净</w:t>
      </w:r>
      <w:r>
        <w:rPr>
          <w:rFonts w:ascii="Times New Roman" w:hAnsi="Times New Roman" w:eastAsia="宋体"/>
          <w:sz w:val="24"/>
          <w:szCs w:val="24"/>
        </w:rPr>
        <w:t>可降低该终点风险，且安全性可接受（详见补充材料表 S2）。</w:t>
      </w:r>
    </w:p>
    <w:p w14:paraId="1A2B3C14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该结果与既往同类研究一致，但样本以亚洲人群为主，外推需谨慎。</w:t>
      </w:r>
    </w:p>
    <w:p w14:paraId="1A2B3C15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结论</w:t>
      </w:r>
    </w:p>
    <w:p w14:paraId="1A2B3C1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改善了射血分数降低的心力衰竭患者的主要结局。安全性总体可接受。该方案值得在临床实践中推广。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Times New Roman" w:hAnsi="Times New Roman" w:eastAsia="宋体" w:cs="Times New Roman"/>
        <w:sz w:val="24"/>
        <w:lang w:val="en-US" w:eastAsia="zh-CN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4"/>
    </w:rPr>
  </w:style>
  <w:style w:type="paragraph" w:styleId="Title">
    <w:name w:val="Title"/>
    <w:basedOn w:val="Normal"/>
    <w:pPr>
      <w:jc w:val="center"/>
    </w:pPr>
    <w:rPr>
      <w:b/>
      <w:sz w:val="40"/>
    </w:rPr>
  </w:style>
  <w:style w:type="paragraph" w:styleId="ListParagraph">
    <w:name w:val="List Paragraph"/>
    <w:basedOn w:val="Normal"/>
    <w:pPr>
      <w:ind w:left="720"/>
    </w:pPr>
  </w:style>
  <w:style w:type="paragraph" w:styleId="Quote">
    <w:name w:val="Quote"/>
    <w:basedOn w:val="Normal"/>
    <w:pPr>
      <w:ind w:left="720"/>
    </w:pPr>
    <w:rPr>
      <w:i/>
    </w:rPr>
  </w:style>
  <w:style w:type="paragraph" w:styleId="Caption">
    <w:name w:val="caption"/>
    <w:basedOn w:val="Normal"/>
    <w:pPr>
      <w:jc w:val="center"/>
    </w:pPr>
    <w:rPr>
      <w:sz w:val="20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rPr>
      <w:sz w:val="1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