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随机序列由独立于研究团队的统计人员采用计算机程序生成，并按区组随机化以保持组间例数均衡，区组长度对各中心保密。受试者完成筛选、确认符合全部入选标准且无排除标准后，由研究者通过中央随机化系统（交互式网络应答系统）按 </w:t>
      </w:r>
      <w:commentRangeStart w:id="0"/>
      <w:r>
        <w:rPr>
          <w:rFonts w:ascii="Times New Roman" w:hAnsi="Times New Roman" w:eastAsia="宋体"/>
          <w:sz w:val="24"/>
          <w:szCs w:val="24"/>
        </w:rPr>
        <w:t xml:space="preserve">1:1 比例随机分配</w:t>
      </w:r>
      <w:commentRangeEnd w:id="0"/>
      <w:r>
        <w:rPr>
          <w:rStyle w:val="CommentReference"/>
        </w:rPr>
        <w:commentReference w:id="0"/>
      </w:r>
      <w:r>
        <w:rPr>
          <w:rFonts w:ascii="Times New Roman" w:hAnsi="Times New Roman" w:eastAsia="宋体"/>
          <w:sz w:val="24"/>
          <w:szCs w:val="24"/>
        </w:rPr>
        <w:t xml:space="preserve">至</w:t>
      </w:r>
      <w:r>
        <w:rPr>
          <w:rFonts w:ascii="Times New Roman" w:hAnsi="Times New Roman" w:eastAsia="宋体"/>
          <w:sz w:val="24"/>
          <w:szCs w:val="24"/>
          <w:b w:val="1"/>
          <w:bCs w:val="1"/>
        </w:rPr>
        <w:t xml:space="preserve">达格列净</w:t>
      </w:r>
      <w:r>
        <w:rPr>
          <w:rFonts w:ascii="Times New Roman" w:hAnsi="Times New Roman" w:eastAsia="宋体"/>
          <w:sz w:val="24"/>
          <w:szCs w:val="24"/>
        </w:rPr>
        <w:t xml:space="preserve">组或安慰剂组，系统即时返回唯一随机号及相应药物编号。随机号按入组顺序连续发放，研究者无法预知、选择或更改后续分配，且不参与随机序列的生成与保存，从而实现分配隐藏。试验对受试者、研究者和结果评估者设盲：达格列净与安慰剂在外观、包装、标签及给药方案上完全一致，均由申办方按随机号统一包装，研究者和受试者均不知晓药物编号与分组之间的对应关系；临床终点事件由独立的盲态终点裁定委员会统一判定，统计分析人员在数据锁定前保持盲态。仅在发生需立即处理的安全性事件时，由独立的数据安全监察人员按预设程序实施紧急揭盲，该受试者此后不再纳入盲态评估。研究方案与盲底在揭盲前由独立人员密封保管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comments.xml><?xml version="1.0" encoding="utf-8"?>
<w:comments xmlns:w="http://schemas.openxmlformats.org/wordprocessingml/2006/main">
  <w:comment w:id="0" w:author="钱东" w:date="2026-10-19T08:00:00Z" w:initials="QD">
    <w:p>
      <w:r>
        <w:t xml:space="preserve">随机化比例请与方案 v2.1 核对</w:t>
      </w:r>
    </w:p>
  </w:comment>
</w:comment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