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mc="http://schemas.openxmlformats.org/markup-compatibility/2006" mc:Ignorable="w14">
  <w:body>
    <w:p w14:paraId="1A2B3C01" w14:textId="77777777" w:rsidR="00A1B2C3" w:rsidRDefault="00A1B2C3">
      <w:pPr>
        <w:pStyle w:val="Heading1"/>
      </w:pP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治疗射血分数降低心力衰竭的随机对照试验</w:t>
      </w:r>
    </w:p>
    <w:p w14:paraId="1A2B3C02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背景</w:t>
      </w:r>
    </w:p>
    <w:p w14:paraId="1A2B3C03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射血分数降低的心力衰竭预后较差，现有治疗仍有未满足的需求。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在既往研究中显示出潜在获益。</w:t>
      </w:r>
    </w:p>
    <w:p w14:paraId="1A2B3C04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方法</w:t>
      </w:r>
    </w:p>
    <w:p w14:paraId="1A2B3C05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本研究为多中心、随机、双盲、安慰剂对照试验。受试者按 1:1 随机分配至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组或安慰剂组。</w:t>
      </w:r>
    </w:p>
    <w:p w14:paraId="1A2B3C06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主要终点为心血管死亡或心衰恶化，次要终点包括全因死亡与生活质量评分。</w:t>
      </w:r>
    </w:p>
    <w:p w14:paraId="1A2B3C07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结果</w:t>
      </w:r>
    </w:p>
    <w:p w14:paraId="1A2B3C08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共纳入 4744 例受试者。安慰剂组中位随访 18 个个月；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组与安慰剂组的严重不良事件发生率分别为 </w:t>
      </w:r>
      <w:r w:rsidRPr="00C4D5E6">
        <w:rPr>
          <w:rFonts w:ascii="Times New Roman" w:hAnsi="Times New Roman" w:eastAsia="宋体"/>
          <w:sz w:val="24"/>
          <w:szCs w:val="24"/>
          <w:i/>
          <w:iCs/>
        </w:rPr>
        <w:t xml:space="preserve">21.4%</w:t>
      </w:r>
      <w:r w:rsidRPr="00C4D5E6">
        <w:rPr>
          <w:rFonts w:ascii="Times New Roman" w:hAnsi="Times New Roman" w:eastAsia="宋体"/>
          <w:sz w:val="24"/>
          <w:szCs w:val="24"/>
        </w:rPr>
        <w:t xml:space="preserve"> 与 </w:t>
      </w:r>
      <w:r w:rsidRPr="00C4D5E6">
        <w:rPr>
          <w:rFonts w:ascii="Times New Roman" w:hAnsi="Times New Roman" w:eastAsia="宋体"/>
          <w:sz w:val="24"/>
          <w:szCs w:val="24"/>
          <w:i/>
          <w:iCs/>
        </w:rPr>
        <w:t xml:space="preserve">25.8%</w:t>
      </w:r>
      <w:r w:rsidRPr="00C4D5E6">
        <w:rPr>
          <w:rFonts w:ascii="Times New Roman" w:hAnsi="Times New Roman" w:eastAsia="宋体"/>
          <w:sz w:val="24"/>
          <w:szCs w:val="24"/>
        </w:rPr>
        <w:t xml:space="preserve">，安慰剂组因不良事件停药更常见。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 w14:paraId="1A2B3C09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基线特征</w:t>
            </w:r>
          </w:p>
        </w:tc>
        <w:tc>
          <w:tcPr>
            <w:tcW w:w="3000" w:type="dxa"/>
          </w:tcPr>
          <w:p w14:paraId="1A2B3C0A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  <w:b/>
                <w:bCs/>
              </w:rPr>
              <w:t xml:space="preserve">达格列净</w:t>
            </w:r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组</w:t>
            </w:r>
          </w:p>
        </w:tc>
        <w:tc>
          <w:tcPr>
            <w:tcW w:w="3000" w:type="dxa"/>
          </w:tcPr>
          <w:p w14:paraId="1A2B3C0B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安慰剂组</w:t>
            </w:r>
          </w:p>
        </w:tc>
      </w:tr>
      <w:tr>
        <w:tc>
          <w:tcPr>
            <w:tcW w:w="3000" w:type="dxa"/>
          </w:tcPr>
          <w:p w14:paraId="1A2B3C0C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年龄（岁）</w:t>
            </w:r>
          </w:p>
        </w:tc>
        <w:tc>
          <w:tcPr>
            <w:tcW w:w="3000" w:type="dxa"/>
          </w:tcPr>
          <w:p w14:paraId="1A2B3C0D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66.2 ± 11.0</w:t>
            </w:r>
          </w:p>
        </w:tc>
        <w:tc>
          <w:tcPr>
            <w:tcW w:w="3000" w:type="dxa"/>
          </w:tcPr>
          <w:p w14:paraId="1A2B3C0E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66.5 ± 10.8</w:t>
            </w:r>
          </w:p>
        </w:tc>
      </w:tr>
      <w:tr>
        <w:tc>
          <w:tcPr>
            <w:tcW w:w="3000" w:type="dxa"/>
          </w:tcPr>
          <w:p w14:paraId="1A2B3C0C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>BMI（kg/m²）</w:t>
            </w:r>
          </w:p>
        </w:tc>
        <w:tc>
          <w:tcPr>
            <w:tcW w:w="3000" w:type="dxa"/>
          </w:tcPr>
          <w:p w14:paraId="1A2B3C0D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>27.1 ± 4.3</w:t>
            </w:r>
          </w:p>
        </w:tc>
        <w:tc>
          <w:tcPr>
            <w:tcW w:w="3000" w:type="dxa"/>
          </w:tcPr>
          <w:p w14:paraId="1A2B3C0E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>26.8 ± 4.5</w:t>
            </w:r>
          </w:p>
        </w:tc>
      </w:tr>
      <w:tr>
        <w:tc>
          <w:tcPr>
            <w:tcW w:w="3000" w:type="dxa"/>
          </w:tcPr>
          <w:p w14:paraId="1A2B3C0F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男性（%）</w:t>
            </w:r>
          </w:p>
        </w:tc>
        <w:tc>
          <w:tcPr>
            <w:tcW w:w="3000" w:type="dxa"/>
          </w:tcPr>
          <w:p w14:paraId="1A2B3C10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76.2</w:t>
            </w:r>
          </w:p>
        </w:tc>
        <w:tc>
          <w:tcPr>
            <w:tcW w:w="3000" w:type="dxa"/>
          </w:tcPr>
          <w:p w14:paraId="1A2B3C11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77.0</w:t>
            </w:r>
          </w:p>
        </w:tc>
      </w:tr>
    </w:tbl>
    <w:p w14:paraId="1A2B3C12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讨论</w:t>
      </w:r>
    </w:p>
    <w:p w14:paraId="1A2B3C13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本研究显示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可降低心血管死亡或心衰恶化风险，效果挺好，且安全性可接受。</w:t>
      </w:r>
    </w:p>
    <w:p w14:paraId="1A2B3C14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该结果与既往同类研究一致，但样本以亚洲人群为主，外推需谨慎。</w:t>
      </w:r>
    </w:p>
    <w:p w14:paraId="1A2B3C15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结论</w:t>
      </w:r>
    </w:p>
    <w:p w14:paraId="1A2B3C16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改善了射血分数降低的心力衰竭患者的主要结局。安全性总体可接受。该方案值得在临床实践中推广。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Times New Roman" w:hAnsi="Times New Roman" w:eastAsia="宋体" w:cs="Times New Roman"/>
        <w:sz w:val="24"/>
        <w:lang w:val="en-US" w:eastAsia="zh-CN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6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outlineLvl w:val="2"/>
    </w:pPr>
    <w:rPr>
      <w:b/>
      <w:sz w:val="28"/>
    </w:rPr>
  </w:style>
  <w:style w:type="paragraph" w:styleId="Heading4">
    <w:name w:val="heading 4"/>
    <w:basedOn w:val="Normal"/>
    <w:next w:val="Normal"/>
    <w:qFormat/>
    <w:pPr>
      <w:keepNext/>
      <w:spacing w:before="240" w:after="120"/>
      <w:outlineLvl w:val="3"/>
    </w:pPr>
    <w:rPr>
      <w:b/>
      <w:sz w:val="26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sz w:val="24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/>
      <w:sz w:val="24"/>
    </w:rPr>
  </w:style>
  <w:style w:type="paragraph" w:styleId="Title">
    <w:name w:val="Title"/>
    <w:basedOn w:val="Normal"/>
    <w:pPr>
      <w:jc w:val="center"/>
    </w:pPr>
    <w:rPr>
      <w:b/>
      <w:sz w:val="40"/>
    </w:rPr>
  </w:style>
  <w:style w:type="paragraph" w:styleId="ListParagraph">
    <w:name w:val="List Paragraph"/>
    <w:basedOn w:val="Normal"/>
    <w:pPr>
      <w:ind w:left="720"/>
    </w:pPr>
  </w:style>
  <w:style w:type="paragraph" w:styleId="Quote">
    <w:name w:val="Quote"/>
    <w:basedOn w:val="Normal"/>
    <w:pPr>
      <w:ind w:left="720"/>
    </w:pPr>
    <w:rPr>
      <w:i/>
    </w:rPr>
  </w:style>
  <w:style w:type="paragraph" w:styleId="Caption">
    <w:name w:val="caption"/>
    <w:basedOn w:val="Normal"/>
    <w:pPr>
      <w:jc w:val="center"/>
    </w:pPr>
    <w:rPr>
      <w:sz w:val="20"/>
    </w:rPr>
  </w:style>
  <w:style w:type="character" w:styleId="Hyperlink">
    <w:name w:val="Hyperlink"/>
    <w:rPr>
      <w:color w:val="0563C1"/>
      <w:u w:val="single"/>
    </w:rPr>
  </w:style>
  <w:style w:type="character" w:styleId="CommentReference">
    <w:name w:val="annotation reference"/>
    <w:rPr>
      <w:sz w:val="1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