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  <w:r>
        <w:rPr>
          <w:rFonts w:ascii="Times New Roman" w:hAnsi="Times New Roman" w:eastAsia="宋体"/>
          <w:sz w:val="24"/>
          <w:szCs w:val="24"/>
        </w:rPr>
        <w:t>在 KEYNOTE-024 试验中，帕博利珠单抗一线治疗 PD-L1 肿瘤比例评分≥50% 的晚期非小细胞肺癌，较铂类化疗显著延长无进展生存期（中位 10.3 个月 vs 6.0 个月，HR 0.50，95% CI 0.37–0.68，P&lt;0.001），并改善总生存期</w:t>
      </w:r>
      <w:r>
        <w:rPr>
          <w:rFonts w:ascii="Times New Roman" w:hAnsi="Times New Roman" w:eastAsia="宋体"/>
          <w:sz w:val="24"/>
          <w:szCs w:val="24"/>
          <w:vertAlign w:val="superscript"/>
        </w:rPr>
        <w:t>[1]</w:t>
      </w:r>
      <w:r>
        <w:rPr>
          <w:rFonts w:ascii="Times New Roman" w:hAnsi="Times New Roman" w:eastAsia="宋体"/>
          <w:sz w:val="24"/>
          <w:szCs w:val="24"/>
        </w:rPr>
        <w:t>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305 例受试者。化疗组中位随访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组与化疗组的严重不良事件发生率分别为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，化疗组因不良事件停药更常见。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化疗组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可降低无进展生存期风险，效果挺好，且安全性可接受。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高表达的晚期非小细胞肺癌患者的主要结局。安全性总体可接受。该方案值得在临床实践中推广。</w:t>
      </w:r>
    </w:p>
    <w:p>
      <w:pPr>
        <w:pStyle w:val="Heading2"/>
      </w:pPr>
      <w:r>
        <w:rPr>
          <w:rFonts w:ascii="Times New Roman" w:hAnsi="Times New Roman" w:eastAsia="宋体"/>
          <w:sz w:val="24"/>
          <w:szCs w:val="24"/>
        </w:rPr>
        <w:t>参考文献</w:t>
      </w:r>
    </w:p>
    <w:p>
      <w:pPr>
        <w:spacing w:line="480" w:lineRule="auto"/>
        <w:ind w:left="480" w:hanging="480"/>
        <w:jc w:val="both"/>
      </w:pPr>
      <w:r>
        <w:rPr>
          <w:rFonts w:ascii="Times New Roman" w:hAnsi="Times New Roman" w:eastAsia="宋体"/>
          <w:sz w:val="24"/>
          <w:szCs w:val="24"/>
        </w:rPr>
        <w:t>1. Reck M, Rodríguez-Abreu D, Robinson AG, et al. Pembrolizumab versus chemotherapy for PD-L1-positive non-small-cell lung cancer. N Engl J Med. 2016;375(19):1823-1833. DOI: 10.1056/NEJMoa1606774.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