
<file path=[Content_Types].xml><?xml version="1.0" encoding="utf-8"?>
<Types xmlns="http://schemas.openxmlformats.org/package/2006/content-types">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b/>
          <w:bCs/>
        </w:rPr>
        <w:t xml:space="preserve">达格列净</w:t>
      </w:r>
      <w:r w:rsidRPr="00C4D5E6">
        <w:rPr>
          <w:rFonts w:ascii="Times New Roman" w:hAnsi="Times New Roman" w:eastAsia="宋体"/>
          <w:sz w:val="24"/>
          <w:szCs w:val="24"/>
        </w:rPr>
        <w:t xml:space="preserve">治疗慢性肾脏病的随机对照试验</w:t>
      </w:r>
    </w:p>
    <w:p w14:paraId="1A2B3C02" w14:textId="77777777" w:rsidR="00A1B2C3" w:rsidRDefault="00A1B2C3">
      <w:pPr>
        <w:pStyle w:val="Heading2"/>
      </w:pPr>
      <w:r w:rsidRPr="00C4D5E6">
        <w:rPr>
          <w:rFonts w:ascii="Times New Roman" w:hAnsi="Times New Roman" w:eastAsia="宋体"/>
          <w:sz w:val="24"/>
          <w:szCs w:val="24"/>
        </w:rPr>
        <w:t xml:space="preserve">背景</w:t>
      </w:r>
    </w:p>
    <w:p w14:paraId="1A2B3C03" w14:textId="77777777" w:rsidR="00A1B2C3" w:rsidRDefault="00A1B2C3">
      <w:pPr>
        <w:spacing w:line="480" w:lineRule="auto"/>
        <w:ind w:firstLine="480"/>
        <w:jc w:val="both"/>
      </w:pPr>
      <w:r w:rsidRPr="00C4D5E6">
        <w:rPr>
          <w:rFonts w:ascii="Times New Roman" w:hAnsi="Times New Roman" w:eastAsia="宋体"/>
          <w:sz w:val="24"/>
          <w:szCs w:val="24"/>
        </w:rPr>
        <w:t xml:space="preserve">慢性肾脏病预后较差，现有治疗仍有未满足的需求。</w:t>
      </w:r>
      <w:r w:rsidRPr="00C4D5E6">
        <w:rPr>
          <w:rFonts w:ascii="Times New Roman" w:hAnsi="Times New Roman" w:eastAsia="宋体"/>
          <w:sz w:val="24"/>
          <w:szCs w:val="24"/>
          <w:b/>
          <w:bCs/>
        </w:rPr>
        <w:t xml:space="preserve">达格列净</w:t>
      </w:r>
      <w:r w:rsidRPr="00C4D5E6">
        <w:rPr>
          <w:rFonts w:ascii="Times New Roman" w:hAnsi="Times New Roman" w:eastAsia="宋体"/>
          <w:sz w:val="24"/>
          <w:szCs w:val="24"/>
        </w:rPr>
        <w:t xml:space="preserve">在既往研究中显示出潜在获益。</w:t>
      </w:r>
    </w:p>
    <w:p w14:paraId="1A2B3C04" w14:textId="77777777" w:rsidR="00A1B2C3" w:rsidRDefault="00A1B2C3">
      <w:pPr>
        <w:pStyle w:val="Heading2"/>
      </w:pPr>
      <w:r w:rsidRPr="00C4D5E6">
        <w:rPr>
          <w:rFonts w:ascii="Times New Roman" w:hAnsi="Times New Roman" w:eastAsia="宋体"/>
          <w:sz w:val="24"/>
          <w:szCs w:val="24"/>
        </w:rPr>
        <w:t xml:space="preserve">方法</w:t>
      </w:r>
    </w:p>
    <w:p w14:paraId="1A2B3C05" w14:textId="77777777" w:rsidR="00A1B2C3" w:rsidRDefault="00A1B2C3">
      <w:pPr>
        <w:spacing w:line="480" w:lineRule="auto"/>
        <w:ind w:firstLine="480"/>
        <w:jc w:val="both"/>
      </w:pPr>
      <w:r>
        <w:rPr>
          <w:rFonts w:ascii="Times New Roman" w:hAnsi="Times New Roman" w:eastAsia="宋体"/>
          <w:sz w:val="24"/>
          <w:szCs w:val="24"/>
        </w:rPr>
        <w:t xml:space="preserve">本研究为多中心、随机、双盲、安慰剂对照试验，方法学设计与报告参照 CONSORT 2010 声明的条目要求。随机序列由独立于研究团队的统计人员采用【随机化软件及版本】</w:t>
      </w:r>
      <w:commentRangeStart w:id="0"/>
      <w:r>
        <w:rPr>
          <w:rFonts w:ascii="Times New Roman" w:hAnsi="Times New Roman" w:eastAsia="宋体"/>
          <w:sz w:val="24"/>
          <w:szCs w:val="24"/>
        </w:rPr>
        <w:t xml:space="preserve">按 1:1 比例随机分配</w:t>
      </w:r>
      <w:commentRangeEnd w:id="0"/>
      <w:r>
        <w:rPr>
          <w:rStyle w:val="CommentReference"/>
        </w:rPr>
        <w:commentReference w:id="0"/>
      </w:r>
      <w:r>
        <w:rPr>
          <w:rFonts w:ascii="Times New Roman" w:hAnsi="Times New Roman" w:eastAsia="宋体"/>
          <w:sz w:val="24"/>
          <w:szCs w:val="24"/>
        </w:rPr>
        <w:t xml:space="preserve">，采用【区组长度】的随机区组设计，并按【预设分层因素】进行分层随机化，使两组基线特征保持均衡，随机化的各要素及操作时点均在首例受试者入组前确定。分配隐藏通过中央随机化系统实现：各中心在受试者完成筛选、确认符合入选标准并签署知情同意书后，登录【网络/电话】系统录入基线信息，由系统按预设区组与分层因素自动分配随机号和对应的药物编号；随机号在任何受试者入组前均无法被研究参与者预先获取或更改，药物编号与随机号一一对应，且无法通过药物外观推断分组。本研究对受试者、研究者及实施随访与数据收集的人员实施盲法：</w:t>
      </w:r>
      <w:r>
        <w:rPr>
          <w:rFonts w:ascii="Times New Roman" w:hAnsi="Times New Roman" w:eastAsia="宋体"/>
          <w:sz w:val="24"/>
          <w:szCs w:val="24"/>
          <w:b/>
          <w:bCs/>
        </w:rPr>
        <w:t xml:space="preserve">达格列净</w:t>
      </w:r>
      <w:r>
        <w:rPr>
          <w:rFonts w:ascii="Times New Roman" w:hAnsi="Times New Roman" w:eastAsia="宋体"/>
          <w:sz w:val="24"/>
          <w:szCs w:val="24"/>
        </w:rPr>
        <w:t xml:space="preserve">与安慰剂在外观、包装、标签及服用方法上完全一致，由不参与临床随访的研究药师按随机号统一调配。研究期间原则上不揭盲，仅在发生需明确临床干预的严重不良事件时，经主要研究者与申办方医学负责人共同批准后按预设的紧急揭盲程序处理，揭盲原因、时间与操作人须记录存档；全部盲底于数据锁定后统一开封。</w:t>
      </w:r>
    </w:p>
    <w:p w14:paraId="1A2B3C06" w14:textId="77777777" w:rsidR="00A1B2C3" w:rsidRDefault="00A1B2C3">
      <w:pPr>
        <w:spacing w:line="480" w:lineRule="auto"/>
        <w:ind w:firstLine="480"/>
        <w:jc w:val="both"/>
      </w:pPr>
      <w:r w:rsidRPr="00C4D5E6">
        <w:rPr>
          <w:rFonts w:ascii="Times New Roman" w:hAnsi="Times New Roman" w:eastAsia="宋体"/>
          <w:sz w:val="24"/>
          <w:szCs w:val="24"/>
        </w:rPr>
        <w:t xml:space="preserve">主要终点为eGFR 持续下降、终末期肾病或肾性/心血管死亡，次要终点包括全因死亡与生活质量评分。</w:t>
      </w:r>
    </w:p>
    <w:p w14:paraId="1A2B3C07" w14:textId="77777777" w:rsidR="00A1B2C3" w:rsidRDefault="00A1B2C3">
      <w:pPr>
        <w:pStyle w:val="Heading2"/>
      </w:pPr>
      <w:r w:rsidRPr="00C4D5E6">
        <w:rPr>
          <w:rFonts w:ascii="Times New Roman" w:hAnsi="Times New Roman" w:eastAsia="宋体"/>
          <w:sz w:val="24"/>
          <w:szCs w:val="24"/>
        </w:rPr>
        <w:t xml:space="preserve">结果</w:t>
      </w:r>
    </w:p>
    <w:p w14:paraId="1A2B3C08" w14:textId="77777777" w:rsidR="00A1B2C3" w:rsidRDefault="00A1B2C3">
      <w:pPr>
        <w:spacing w:line="480" w:lineRule="auto"/>
        <w:ind w:firstLine="480"/>
        <w:jc w:val="both"/>
      </w:pPr>
      <w:r w:rsidRPr="00C4D5E6">
        <w:rPr>
          <w:rFonts w:ascii="Times New Roman" w:hAnsi="Times New Roman" w:eastAsia="宋体"/>
          <w:sz w:val="24"/>
          <w:szCs w:val="24"/>
        </w:rPr>
        <w:t xml:space="preserve">共纳入 4304 例受试者。安慰剂组中位随访 18 个个月；</w:t>
      </w:r>
      <w:r w:rsidRPr="00C4D5E6">
        <w:rPr>
          <w:rFonts w:ascii="Times New Roman" w:hAnsi="Times New Roman" w:eastAsia="宋体"/>
          <w:sz w:val="24"/>
          <w:szCs w:val="24"/>
          <w:b/>
          <w:bCs/>
        </w:rPr>
        <w:t xml:space="preserve">达格列净</w:t>
      </w:r>
      <w:r w:rsidRPr="00C4D5E6">
        <w:rPr>
          <w:rFonts w:ascii="Times New Roman" w:hAnsi="Times New Roman" w:eastAsia="宋体"/>
          <w:sz w:val="24"/>
          <w:szCs w:val="24"/>
        </w:rPr>
        <w:t xml:space="preserve">组与安慰剂组的严重不良事件发生率分别为 </w:t>
      </w:r>
      <w:r w:rsidRPr="00C4D5E6">
        <w:rPr>
          <w:rFonts w:ascii="Times New Roman" w:hAnsi="Times New Roman" w:eastAsia="宋体"/>
          <w:sz w:val="24"/>
          <w:szCs w:val="24"/>
          <w:i/>
          <w:iCs/>
        </w:rPr>
        <w:t xml:space="preserve">21.4%</w:t>
      </w:r>
      <w:r w:rsidRPr="00C4D5E6">
        <w:rPr>
          <w:rFonts w:ascii="Times New Roman" w:hAnsi="Times New Roman" w:eastAsia="宋体"/>
          <w:sz w:val="24"/>
          <w:szCs w:val="24"/>
        </w:rPr>
        <w:t xml:space="preserve"> 与 </w:t>
      </w:r>
      <w:r w:rsidRPr="00C4D5E6">
        <w:rPr>
          <w:rFonts w:ascii="Times New Roman" w:hAnsi="Times New Roman" w:eastAsia="宋体"/>
          <w:sz w:val="24"/>
          <w:szCs w:val="24"/>
          <w:i/>
          <w:iCs/>
        </w:rPr>
        <w:t xml:space="preserve">25.8%</w:t>
      </w:r>
      <w:r w:rsidRPr="00C4D5E6">
        <w:rPr>
          <w:rFonts w:ascii="Times New Roman" w:hAnsi="Times New Roman" w:eastAsia="宋体"/>
          <w:sz w:val="24"/>
          <w:szCs w:val="24"/>
        </w:rPr>
        <w:t xml:space="preserve">，安慰剂组因不良事件停药更常见。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09" w14:textId="77777777" w:rsidR="00A1B2C3" w:rsidRDefault="00A1B2C3">
            <w:r w:rsidRPr="00C4D5E6">
              <w:rPr>
                <w:rFonts w:ascii="Times New Roman" w:hAnsi="Times New Roman" w:eastAsia="宋体"/>
                <w:sz w:val="24"/>
                <w:szCs w:val="24"/>
              </w:rPr>
              <w:t xml:space="preserve">基线特征</w:t>
            </w:r>
          </w:p>
        </w:tc>
        <w:tc>
          <w:tcPr>
            <w:tcW w:w="3000" w:type="dxa"/>
          </w:tcPr>
          <w:p w14:paraId="1A2B3C0A" w14:textId="77777777" w:rsidR="00A1B2C3" w:rsidRDefault="00A1B2C3">
            <w:r w:rsidRPr="00C4D5E6">
              <w:rPr>
                <w:rFonts w:ascii="Times New Roman" w:hAnsi="Times New Roman" w:eastAsia="宋体"/>
                <w:sz w:val="24"/>
                <w:szCs w:val="24"/>
                <w:b/>
                <w:bCs/>
              </w:rPr>
              <w:t xml:space="preserve">达格列净</w:t>
            </w:r>
            <w:r w:rsidRPr="00C4D5E6">
              <w:rPr>
                <w:rFonts w:ascii="Times New Roman" w:hAnsi="Times New Roman" w:eastAsia="宋体"/>
                <w:sz w:val="24"/>
                <w:szCs w:val="24"/>
              </w:rPr>
              <w:t xml:space="preserve">组</w:t>
            </w:r>
          </w:p>
        </w:tc>
        <w:tc>
          <w:tcPr>
            <w:tcW w:w="3000" w:type="dxa"/>
          </w:tcPr>
          <w:p w14:paraId="1A2B3C0B" w14:textId="77777777" w:rsidR="00A1B2C3" w:rsidRDefault="00A1B2C3">
            <w:r w:rsidRPr="00C4D5E6">
              <w:rPr>
                <w:rFonts w:ascii="Times New Roman" w:hAnsi="Times New Roman" w:eastAsia="宋体"/>
                <w:sz w:val="24"/>
                <w:szCs w:val="24"/>
              </w:rPr>
              <w:t xml:space="preserve">安慰剂组</w:t>
            </w:r>
          </w:p>
        </w:tc>
      </w:tr>
      <w:tr>
        <w:tc>
          <w:tcPr>
            <w:tcW w:w="3000" w:type="dxa"/>
          </w:tcPr>
          <w:p w14:paraId="1A2B3C0C" w14:textId="77777777" w:rsidR="00A1B2C3" w:rsidRDefault="00A1B2C3">
            <w:r w:rsidRPr="00C4D5E6">
              <w:rPr>
                <w:rFonts w:ascii="Times New Roman" w:hAnsi="Times New Roman" w:eastAsia="宋体"/>
                <w:sz w:val="24"/>
                <w:szCs w:val="24"/>
              </w:rPr>
              <w:t xml:space="preserve">年龄（岁）</w:t>
            </w:r>
          </w:p>
        </w:tc>
        <w:tc>
          <w:tcPr>
            <w:tcW w:w="3000" w:type="dxa"/>
          </w:tcPr>
          <w:p w14:paraId="1A2B3C0D" w14:textId="77777777" w:rsidR="00A1B2C3" w:rsidRDefault="00A1B2C3">
            <w:r w:rsidRPr="00C4D5E6">
              <w:rPr>
                <w:rFonts w:ascii="Times New Roman" w:hAnsi="Times New Roman" w:eastAsia="宋体"/>
                <w:sz w:val="24"/>
                <w:szCs w:val="24"/>
              </w:rPr>
              <w:t xml:space="preserve">61.8 ± 12.1</w:t>
            </w:r>
          </w:p>
        </w:tc>
        <w:tc>
          <w:tcPr>
            <w:tcW w:w="3000" w:type="dxa"/>
          </w:tcPr>
          <w:p w14:paraId="1A2B3C0E" w14:textId="77777777" w:rsidR="00A1B2C3" w:rsidRDefault="00A1B2C3">
            <w:r w:rsidRPr="00C4D5E6">
              <w:rPr>
                <w:rFonts w:ascii="Times New Roman" w:hAnsi="Times New Roman" w:eastAsia="宋体"/>
                <w:sz w:val="24"/>
                <w:szCs w:val="24"/>
              </w:rPr>
              <w:t xml:space="preserve">61.9 ± 12.1</w:t>
            </w:r>
          </w:p>
        </w:tc>
      </w:tr>
      <w:tr>
        <w:tc>
          <w:tcPr>
            <w:tcW w:w="3000" w:type="dxa"/>
          </w:tcPr>
          <w:p w14:paraId="1A2B3C0F" w14:textId="77777777" w:rsidR="00A1B2C3" w:rsidRDefault="00A1B2C3">
            <w:r w:rsidRPr="00C4D5E6">
              <w:rPr>
                <w:rFonts w:ascii="Times New Roman" w:hAnsi="Times New Roman" w:eastAsia="宋体"/>
                <w:sz w:val="24"/>
                <w:szCs w:val="24"/>
              </w:rPr>
              <w:t xml:space="preserve">男性（%）</w:t>
            </w:r>
          </w:p>
        </w:tc>
        <w:tc>
          <w:tcPr>
            <w:tcW w:w="3000" w:type="dxa"/>
          </w:tcPr>
          <w:p w14:paraId="1A2B3C10" w14:textId="77777777" w:rsidR="00A1B2C3" w:rsidRDefault="00A1B2C3">
            <w:r w:rsidRPr="00C4D5E6">
              <w:rPr>
                <w:rFonts w:ascii="Times New Roman" w:hAnsi="Times New Roman" w:eastAsia="宋体"/>
                <w:sz w:val="24"/>
                <w:szCs w:val="24"/>
              </w:rPr>
              <w:t xml:space="preserve">76.2</w:t>
            </w:r>
          </w:p>
        </w:tc>
        <w:tc>
          <w:tcPr>
            <w:tcW w:w="3000" w:type="dxa"/>
          </w:tcPr>
          <w:p w14:paraId="1A2B3C11" w14:textId="77777777" w:rsidR="00A1B2C3" w:rsidRDefault="00A1B2C3">
            <w:r w:rsidRPr="00C4D5E6">
              <w:rPr>
                <w:rFonts w:ascii="Times New Roman" w:hAnsi="Times New Roman" w:eastAsia="宋体"/>
                <w:sz w:val="24"/>
                <w:szCs w:val="24"/>
              </w:rPr>
              <w:t xml:space="preserve">77.0</w:t>
            </w:r>
          </w:p>
        </w:tc>
      </w:tr>
    </w:tbl>
    <w:p w14:paraId="1A2B3C12" w14:textId="77777777" w:rsidR="00A1B2C3" w:rsidRDefault="00A1B2C3">
      <w:pPr>
        <w:pStyle w:val="Heading2"/>
      </w:pPr>
      <w:r w:rsidRPr="00C4D5E6">
        <w:rPr>
          <w:rFonts w:ascii="Times New Roman" w:hAnsi="Times New Roman" w:eastAsia="宋体"/>
          <w:sz w:val="24"/>
          <w:szCs w:val="24"/>
        </w:rPr>
        <w:t xml:space="preserve">讨论</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本研究显示</w:t>
      </w:r>
      <w:r w:rsidRPr="00C4D5E6">
        <w:rPr>
          <w:rFonts w:ascii="Times New Roman" w:hAnsi="Times New Roman" w:eastAsia="宋体"/>
          <w:sz w:val="24"/>
          <w:szCs w:val="24"/>
          <w:b/>
          <w:bCs/>
        </w:rPr>
        <w:t xml:space="preserve">达格列净</w:t>
      </w:r>
      <w:r w:rsidRPr="00C4D5E6">
        <w:rPr>
          <w:rFonts w:ascii="Times New Roman" w:hAnsi="Times New Roman" w:eastAsia="宋体"/>
          <w:sz w:val="24"/>
          <w:szCs w:val="24"/>
        </w:rPr>
        <w:t xml:space="preserve">可降低eGFR 持续下降、终末期肾病或肾性/心血管死亡风险，效果挺好，且安全性可接受。</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该结果与既往同类研究一致，但样本以亚洲人群为主，外推需谨慎。</w:t>
      </w:r>
    </w:p>
    <w:p w14:paraId="1A2B3C15" w14:textId="77777777" w:rsidR="00A1B2C3" w:rsidRDefault="00A1B2C3">
      <w:pPr>
        <w:pStyle w:val="Heading2"/>
      </w:pPr>
      <w:r w:rsidRPr="00C4D5E6">
        <w:rPr>
          <w:rFonts w:ascii="Times New Roman" w:hAnsi="Times New Roman" w:eastAsia="宋体"/>
          <w:sz w:val="24"/>
          <w:szCs w:val="24"/>
        </w:rPr>
        <w:t xml:space="preserve">结论</w:t>
      </w:r>
    </w:p>
    <w:p w14:paraId="1A2B3C16" w14:textId="77777777" w:rsidR="00A1B2C3" w:rsidRDefault="00A1B2C3">
      <w:pPr>
        <w:spacing w:line="480" w:lineRule="auto"/>
        <w:ind w:firstLine="480"/>
        <w:jc w:val="both"/>
      </w:pPr>
      <w:r w:rsidRPr="00C4D5E6">
        <w:rPr>
          <w:rFonts w:ascii="Times New Roman" w:hAnsi="Times New Roman" w:eastAsia="宋体"/>
          <w:sz w:val="24"/>
          <w:szCs w:val="24"/>
          <w:b/>
          <w:bCs/>
        </w:rPr>
        <w:t xml:space="preserve">达格列净</w:t>
      </w:r>
      <w:r w:rsidRPr="00C4D5E6">
        <w:rPr>
          <w:rFonts w:ascii="Times New Roman" w:hAnsi="Times New Roman" w:eastAsia="宋体"/>
          <w:sz w:val="24"/>
          <w:szCs w:val="24"/>
        </w:rPr>
        <w:t xml:space="preserve">改善了慢性肾脏病患者的主要结局。安全性总体可接受。该方案值得在临床实践中推广。</w:t>
      </w:r>
    </w:p>
    <w:sectPr>
      <w:pgSz w:w="11906" w:h="16838"/>
      <w:pgMar w:top="1440" w:right="1440" w:bottom="1440" w:left="1440" w:header="851" w:footer="992" w:gutter="0"/>
    </w:sectPr>
  </w:body>
</w:document>
</file>

<file path=word/comments.xml><?xml version="1.0" encoding="utf-8"?>
<w:comments xmlns:w="http://schemas.openxmlformats.org/wordprocessingml/2006/main">
  <w:comment w:id="0" w:author="钱东" w:date="2026-10-19T08:00:00Z" w:initials="QD">
    <w:p>
      <w:r>
        <w:t xml:space="preserve">随机化比例请与方案 v2.1 核对</w:t>
      </w:r>
    </w:p>
  </w:comment>
</w:comment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Comments1" Type="http://schemas.openxmlformats.org/officeDocument/2006/relationships/comments" Target="comments.xml"/></Relationships>
</file>