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治疗射血分数降低心力衰竭的随机对照试验</w:t>
      </w:r>
    </w:p>
    <w:p w14:paraId="1A2B3C02" w14:textId="77777777" w:rsidR="00A1B2C3" w:rsidRDefault="00A1B2C3">
      <w:pPr>
        <w:pStyle w:val="Heading2"/>
      </w:pPr>
      <w:r w:rsidRPr="00C4D5E6">
        <w:rPr>
          <w:rFonts w:ascii="Times New Roman" w:hAnsi="Times New Roman" w:eastAsia="宋体"/>
          <w:sz w:val="24"/>
          <w:szCs w:val="24"/>
        </w:rPr>
        <w:t xml:space="preserve">背景</w:t>
      </w:r>
    </w:p>
    <w:p w14:paraId="1A2B3C03" w14:textId="77777777" w:rsidR="00A1B2C3" w:rsidRDefault="00A1B2C3">
      <w:pPr>
        <w:spacing w:line="480" w:lineRule="auto"/>
        <w:ind w:firstLine="480"/>
        <w:jc w:val="both"/>
      </w:pPr>
      <w:r w:rsidRPr="00C4D5E6">
        <w:rPr>
          <w:rFonts w:ascii="Times New Roman" w:hAnsi="Times New Roman" w:eastAsia="宋体"/>
          <w:sz w:val="24"/>
          <w:szCs w:val="24"/>
        </w:rPr>
        <w:t xml:space="preserve">射血分数降低的心力衰竭预后较差，现有治疗仍有未满足的需求。</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在既往研究中显示出潜在获益。</w:t>
      </w:r>
    </w:p>
    <w:p w14:paraId="1A2B3C04" w14:textId="77777777" w:rsidR="00A1B2C3" w:rsidRDefault="00A1B2C3">
      <w:pPr>
        <w:pStyle w:val="Heading2"/>
      </w:pPr>
      <w:r w:rsidRPr="00C4D5E6">
        <w:rPr>
          <w:rFonts w:ascii="Times New Roman" w:hAnsi="Times New Roman" w:eastAsia="宋体"/>
          <w:sz w:val="24"/>
          <w:szCs w:val="24"/>
        </w:rPr>
        <w:t xml:space="preserve">方法</w:t>
      </w:r>
    </w:p>
    <w:p w14:paraId="1A2B3C05" w14:textId="77777777" w:rsidR="00A1B2C3" w:rsidRDefault="00A1B2C3">
      <w:pPr>
        <w:spacing w:line="480" w:lineRule="auto"/>
        <w:ind w:firstLine="480"/>
        <w:jc w:val="both"/>
      </w:pPr>
      <w:r>
        <w:rPr>
          <w:rFonts w:ascii="Times New Roman" w:hAnsi="Times New Roman" w:eastAsia="宋体"/>
          <w:sz w:val="24"/>
          <w:szCs w:val="24"/>
        </w:rPr>
        <w:t xml:space="preserve">本研究为多中心、随机、双盲、安慰剂对照试验，按 CONSORT 2010 声明报告</w:t>
      </w:r>
      <w:r>
        <w:rPr>
          <w:rFonts w:ascii="Times New Roman" w:hAnsi="Times New Roman" w:eastAsia="宋体"/>
          <w:sz w:val="24"/>
          <w:szCs w:val="24"/>
          <w:vertAlign w:val="superscript"/>
        </w:rPr>
        <w:t>[1]</w:t>
      </w:r>
      <w:r>
        <w:rPr>
          <w:rFonts w:ascii="Times New Roman" w:hAnsi="Times New Roman" w:eastAsia="宋体"/>
          <w:sz w:val="24"/>
          <w:szCs w:val="24"/>
        </w:rPr>
        <w:t xml:space="preserve">。随机序列由不参与受试者入组与终点评估的独立统计人员使用计算机算法按区组随机化方法生成；受试者按 </w:t>
      </w:r>
      <w:commentRangeStart w:id="0"/>
      <w:r>
        <w:rPr>
          <w:rFonts w:ascii="Times New Roman" w:hAnsi="Times New Roman" w:eastAsia="宋体"/>
          <w:sz w:val="24"/>
          <w:szCs w:val="24"/>
        </w:rPr>
        <w:t xml:space="preserve">1:1 随机分配</w:t>
      </w:r>
      <w:r>
        <w:rPr>
          <w:rFonts w:ascii="Times New Roman" w:hAnsi="Times New Roman" w:eastAsia="宋体"/>
          <w:sz w:val="24"/>
          <w:szCs w:val="24"/>
        </w:rPr>
        <w:t xml:space="preserve">至</w:t>
      </w:r>
      <w:r>
        <w:rPr>
          <w:rFonts w:ascii="Times New Roman" w:hAnsi="Times New Roman" w:eastAsia="宋体"/>
          <w:b/>
          <w:sz w:val="24"/>
          <w:szCs w:val="24"/>
        </w:rPr>
        <w:t xml:space="preserve">达格列净</w:t>
      </w:r>
      <w:r>
        <w:rPr>
          <w:rFonts w:ascii="Times New Roman" w:hAnsi="Times New Roman" w:eastAsia="宋体"/>
          <w:sz w:val="24"/>
          <w:szCs w:val="24"/>
        </w:rPr>
        <w:t xml:space="preserve">组或安慰剂组。分配隐藏通过中心化随机分配系统实现：各中心须在受试者完成入组登记与基线评估后，方可获得该受试者的分组信息，实施入组的研究者无法预知下一例的分配。受试者、研究者、终点判定委员会与统计分析人员对分组均保持盲态，</w:t>
      </w:r>
      <w:r>
        <w:rPr>
          <w:rFonts w:ascii="Times New Roman" w:hAnsi="Times New Roman" w:eastAsia="宋体"/>
          <w:b/>
          <w:sz w:val="24"/>
          <w:szCs w:val="24"/>
        </w:rPr>
        <w:t xml:space="preserve">达格列净</w:t>
      </w:r>
      <w:r>
        <w:rPr>
          <w:rFonts w:ascii="Times New Roman" w:hAnsi="Times New Roman" w:eastAsia="宋体"/>
          <w:sz w:val="24"/>
          <w:szCs w:val="24"/>
        </w:rPr>
        <w:t xml:space="preserve">与安慰剂在外观、包装与给药方案上完全一致；仅在发生需紧急处置的严重不良事件时，按预定程序实施紧急揭盲。</w:t>
      </w:r>
      <w:commentRangeEnd w:id="0"/>
      <w:r>
        <w:rPr>
          <w:rStyle w:val="CommentReference"/>
        </w:rPr>
        <w:commentReference w:id="0"/>
      </w:r>
    </w:p>
    <w:p w14:paraId="1A2B3C06" w14:textId="77777777" w:rsidR="00A1B2C3" w:rsidRDefault="00A1B2C3">
      <w:pPr>
        <w:spacing w:line="480" w:lineRule="auto"/>
        <w:ind w:firstLine="480"/>
        <w:jc w:val="both"/>
      </w:pPr>
      <w:r w:rsidRPr="00C4D5E6">
        <w:rPr>
          <w:rFonts w:ascii="Times New Roman" w:hAnsi="Times New Roman" w:eastAsia="宋体"/>
          <w:sz w:val="24"/>
          <w:szCs w:val="24"/>
        </w:rPr>
        <w:t xml:space="preserve">主要终点为心血管死亡或心衰恶化，次要终点包括全因死亡与生活质量评分。</w:t>
      </w:r>
    </w:p>
    <w:p w14:paraId="1A2B3C07" w14:textId="77777777" w:rsidR="00A1B2C3" w:rsidRDefault="00A1B2C3">
      <w:pPr>
        <w:pStyle w:val="Heading2"/>
      </w:pPr>
      <w:r w:rsidRPr="00C4D5E6">
        <w:rPr>
          <w:rFonts w:ascii="Times New Roman" w:hAnsi="Times New Roman" w:eastAsia="宋体"/>
          <w:sz w:val="24"/>
          <w:szCs w:val="24"/>
        </w:rPr>
        <w:t xml:space="preserve">结果</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共纳入 4744 例受试者。安慰剂组中位随访 18 个个月；</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组与安慰剂组的严重不良事件发生率分别为 </w:t>
      </w:r>
      <w:r w:rsidRPr="00C4D5E6">
        <w:rPr>
          <w:rFonts w:ascii="Times New Roman" w:hAnsi="Times New Roman" w:eastAsia="宋体"/>
          <w:sz w:val="24"/>
          <w:szCs w:val="24"/>
          <w:i/>
          <w:iCs/>
        </w:rPr>
        <w:t xml:space="preserve">21.4%</w:t>
      </w:r>
      <w:r w:rsidRPr="00C4D5E6">
        <w:rPr>
          <w:rFonts w:ascii="Times New Roman" w:hAnsi="Times New Roman" w:eastAsia="宋体"/>
          <w:sz w:val="24"/>
          <w:szCs w:val="24"/>
        </w:rPr>
        <w:t xml:space="preserve"> 与 </w:t>
      </w:r>
      <w:r w:rsidRPr="00C4D5E6">
        <w:rPr>
          <w:rFonts w:ascii="Times New Roman" w:hAnsi="Times New Roman" w:eastAsia="宋体"/>
          <w:sz w:val="24"/>
          <w:szCs w:val="24"/>
          <w:i/>
          <w:iCs/>
        </w:rPr>
        <w:t xml:space="preserve">25.8%</w:t>
      </w:r>
      <w:r w:rsidRPr="00C4D5E6">
        <w:rPr>
          <w:rFonts w:ascii="Times New Roman" w:hAnsi="Times New Roman" w:eastAsia="宋体"/>
          <w:sz w:val="24"/>
          <w:szCs w:val="24"/>
        </w:rPr>
        <w:t xml:space="preserve">，安慰剂组因不良事件停药更常见。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09" w14:textId="77777777" w:rsidR="00A1B2C3" w:rsidRDefault="00A1B2C3">
            <w:r w:rsidRPr="00C4D5E6">
              <w:rPr>
                <w:rFonts w:ascii="Times New Roman" w:hAnsi="Times New Roman" w:eastAsia="宋体"/>
                <w:sz w:val="24"/>
                <w:szCs w:val="24"/>
              </w:rPr>
              <w:t xml:space="preserve">基线特征</w:t>
            </w:r>
          </w:p>
        </w:tc>
        <w:tc>
          <w:tcPr>
            <w:tcW w:w="3000" w:type="dxa"/>
          </w:tcPr>
          <w:p w14:paraId="1A2B3C0A" w14:textId="77777777" w:rsidR="00A1B2C3" w:rsidRDefault="00A1B2C3">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w:t>
            </w:r>
          </w:p>
        </w:tc>
        <w:tc>
          <w:tcPr>
            <w:tcW w:w="3000" w:type="dxa"/>
          </w:tcPr>
          <w:p w14:paraId="1A2B3C0B" w14:textId="77777777" w:rsidR="00A1B2C3" w:rsidRDefault="00A1B2C3">
            <w:r w:rsidRPr="00C4D5E6">
              <w:rPr>
                <w:rFonts w:ascii="Times New Roman" w:hAnsi="Times New Roman" w:eastAsia="宋体"/>
                <w:sz w:val="24"/>
                <w:szCs w:val="24"/>
              </w:rPr>
              <w:t xml:space="preserve">安慰剂组</w:t>
            </w:r>
          </w:p>
        </w:tc>
      </w:tr>
      <w:tr>
        <w:tc>
          <w:tcPr>
            <w:tcW w:w="3000" w:type="dxa"/>
          </w:tcPr>
          <w:p w14:paraId="1A2B3C0C" w14:textId="77777777" w:rsidR="00A1B2C3" w:rsidRDefault="00A1B2C3">
            <w:r w:rsidRPr="00C4D5E6">
              <w:rPr>
                <w:rFonts w:ascii="Times New Roman" w:hAnsi="Times New Roman" w:eastAsia="宋体"/>
                <w:sz w:val="24"/>
                <w:szCs w:val="24"/>
              </w:rPr>
              <w:t xml:space="preserve">年龄（岁）</w:t>
            </w:r>
          </w:p>
        </w:tc>
        <w:tc>
          <w:tcPr>
            <w:tcW w:w="3000" w:type="dxa"/>
          </w:tcPr>
          <w:p w14:paraId="1A2B3C0D" w14:textId="77777777" w:rsidR="00A1B2C3" w:rsidRDefault="00A1B2C3">
            <w:r w:rsidRPr="00C4D5E6">
              <w:rPr>
                <w:rFonts w:ascii="Times New Roman" w:hAnsi="Times New Roman" w:eastAsia="宋体"/>
                <w:sz w:val="24"/>
                <w:szCs w:val="24"/>
              </w:rPr>
              <w:t xml:space="preserve">66.2 ± 11.0</w:t>
            </w:r>
          </w:p>
        </w:tc>
        <w:tc>
          <w:tcPr>
            <w:tcW w:w="3000" w:type="dxa"/>
          </w:tcPr>
          <w:p w14:paraId="1A2B3C0E" w14:textId="77777777" w:rsidR="00A1B2C3" w:rsidRDefault="00A1B2C3">
            <w:r w:rsidRPr="00C4D5E6">
              <w:rPr>
                <w:rFonts w:ascii="Times New Roman" w:hAnsi="Times New Roman" w:eastAsia="宋体"/>
                <w:sz w:val="24"/>
                <w:szCs w:val="24"/>
              </w:rPr>
              <w:t xml:space="preserve">66.5 ± 10.8</w:t>
            </w:r>
          </w:p>
        </w:tc>
      </w:tr>
      <w:tr>
        <w:tc>
          <w:tcPr>
            <w:tcW w:w="3000" w:type="dxa"/>
          </w:tcPr>
          <w:p w14:paraId="1A2B3C0F" w14:textId="77777777" w:rsidR="00A1B2C3" w:rsidRDefault="00A1B2C3">
            <w:r w:rsidRPr="00C4D5E6">
              <w:rPr>
                <w:rFonts w:ascii="Times New Roman" w:hAnsi="Times New Roman" w:eastAsia="宋体"/>
                <w:sz w:val="24"/>
                <w:szCs w:val="24"/>
              </w:rPr>
              <w:t xml:space="preserve">男性（%）</w:t>
            </w:r>
          </w:p>
        </w:tc>
        <w:tc>
          <w:tcPr>
            <w:tcW w:w="3000" w:type="dxa"/>
          </w:tcPr>
          <w:p w14:paraId="1A2B3C10" w14:textId="77777777" w:rsidR="00A1B2C3" w:rsidRDefault="00A1B2C3">
            <w:r w:rsidRPr="00C4D5E6">
              <w:rPr>
                <w:rFonts w:ascii="Times New Roman" w:hAnsi="Times New Roman" w:eastAsia="宋体"/>
                <w:sz w:val="24"/>
                <w:szCs w:val="24"/>
              </w:rPr>
              <w:t xml:space="preserve">76.2</w:t>
            </w:r>
          </w:p>
        </w:tc>
        <w:tc>
          <w:tcPr>
            <w:tcW w:w="3000" w:type="dxa"/>
          </w:tcPr>
          <w:p w14:paraId="1A2B3C11" w14:textId="77777777" w:rsidR="00A1B2C3" w:rsidRDefault="00A1B2C3">
            <w:r w:rsidRPr="00C4D5E6">
              <w:rPr>
                <w:rFonts w:ascii="Times New Roman" w:hAnsi="Times New Roman" w:eastAsia="宋体"/>
                <w:sz w:val="24"/>
                <w:szCs w:val="24"/>
              </w:rPr>
              <w:t xml:space="preserve">77.0</w:t>
            </w:r>
          </w:p>
        </w:tc>
      </w:tr>
    </w:tbl>
    <w:p w14:paraId="1A2B3C12" w14:textId="77777777" w:rsidR="00A1B2C3" w:rsidRDefault="00A1B2C3">
      <w:pPr>
        <w:pStyle w:val="Heading2"/>
      </w:pPr>
      <w:r w:rsidRPr="00C4D5E6">
        <w:rPr>
          <w:rFonts w:ascii="Times New Roman" w:hAnsi="Times New Roman" w:eastAsia="宋体"/>
          <w:sz w:val="24"/>
          <w:szCs w:val="24"/>
        </w:rPr>
        <w:t xml:space="preserve">讨论</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本研究显示</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可降低心血管死亡或心衰恶化风险，效果挺好，且安全性可接受。</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该结果与既往同类研究一致，但样本以亚洲人群为主，外推需谨慎。</w:t>
      </w:r>
    </w:p>
    <w:p w14:paraId="1A2B3C15" w14:textId="77777777" w:rsidR="00A1B2C3" w:rsidRDefault="00A1B2C3">
      <w:pPr>
        <w:pStyle w:val="Heading2"/>
      </w:pPr>
      <w:r w:rsidRPr="00C4D5E6">
        <w:rPr>
          <w:rFonts w:ascii="Times New Roman" w:hAnsi="Times New Roman" w:eastAsia="宋体"/>
          <w:sz w:val="24"/>
          <w:szCs w:val="24"/>
        </w:rPr>
        <w:t xml:space="preserve">结论</w:t>
      </w:r>
    </w:p>
    <w:p w14:paraId="1A2B3C16" w14:textId="77777777" w:rsidR="00A1B2C3" w:rsidRDefault="00A1B2C3">
      <w:pPr>
        <w:spacing w:line="480" w:lineRule="auto"/>
        <w:ind w:firstLine="480"/>
        <w:jc w:val="both"/>
      </w:pP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改善了射血分数降低的心力衰竭患者的主要结局。安全性总体可接受。该方案值得在临床实践中推广。</w:t>
      </w:r>
    </w:p>
    <w:p>
      <w:pPr>
        <w:pStyle w:val="Heading1"/>
      </w:pPr>
      <w:r>
        <w:t>参考文献</w:t>
      </w:r>
    </w:p>
    <w:p>
      <w:pPr>
        <w:ind w:left="440" w:hanging="440"/>
      </w:pPr>
      <w:r>
        <w:t xml:space="preserve">[1] Schulz KF, Altman DG, Moher D, for the CONSORT Group. CONSORT 2010 Statement: updated guidelines for reporting parallel group randomised trials. BMJ. 2010;340(mar23 1):c332-c332. doi:10.1136/bmj.c332</w:t>
      </w:r>
    </w:p>
    <w:sectPr>
      <w:pgSz w:w="11906" w:h="16838"/>
      <w:pgMar w:top="1440" w:right="1440" w:bottom="1440" w:left="1440" w:header="851" w:footer="992" w:gutter="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comment w:id="0" w:author="Heurion" w:initials="H" w:date="2026-10-19T12:15:17Z">
    <w:p>
      <w:r>
        <w:t xml:space="preserve">用户：随机化比例请与方案 v2.1 核对</w:t>
      </w:r>
    </w:p>
    <w:p>
      <w:r>
        <w:t xml:space="preserve">Heurion：方法第一段已按 CONSORT 2010 重写（序列生成、分配隐藏、盲法）。关于「1:1」：我保留了原句「受试者按 1:1 随机分配至达格列净组或安慰剂组」的原文与比例，因为文档里和我的资料里都没有方案 v2.1 原文，无法核对这一比例；如果您确认 v2.1 中不是 1:1（例如 2:1），告诉我具体比例，我改成一致的数字。同时新增的「区组随机化、中心化随机分配系统、终点判定委员会设盲」三处细节也请一并对照 v2.1 确认，若有出入我据方案调整。</w:t>
      </w:r>
    </w:p>
  </w:comment>
</w:comment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comments" Target="comments.xml"/></Relationships>
</file>