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本研究以无进展生存期为主要终点，结果显示</w:t>
      </w:r>
      <w:r>
        <w:rPr>
          <w:rFonts w:ascii="Times New Roman" w:hAnsi="Times New Roman" w:eastAsia="宋体"/>
          <w:b/>
          <w:sz w:val="24"/>
          <w:szCs w:val="24"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 xml:space="preserve">较化疗降低疾病进展或死亡风险，安全性可接受（补充材料表 S2、S3、S4）。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