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Pr>
          <w:rFonts w:ascii="Times New Roman" w:hAnsi="Times New Roman" w:eastAsia="宋体"/>
          <w:sz w:val="24"/>
          <w:szCs w:val="24"/>
        </w:rPr>
        <w:t>Esophageal carcinoma remains a major clinical challenge because of its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(see Supplementary Table S2, S3),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