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Pr>
          <w:rFonts w:ascii="Times New Roman" w:hAnsi="Times New Roman" w:eastAsia="宋体"/>
          <w:sz w:val="24"/>
          <w:szCs w:val="24"/>
        </w:rPr>
        <w:t>This retrospective study examined the clinical characteristics and prognosis of patients with T4 ESCC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(see Supplementary Table S2, S3)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