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We retrospectively enrolled patients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patients were staged according to the 8th edition of the American Joint Committee on Cancer (AJCC) staging manual.</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However, some studies have reported negative results. A study from Japan enrolled 71 patients with T4 EC and tracheobronchial invasion (TBI), of whom 58 received definitive chemoradiotherapy (dCRT) and 13 received induction chemoradiotherapy followed by surgery (iCRT-S); no significant difference was found between the dCRT and iCRT-S groups. Clinical LN negativity and a later treatment period were identified as significant favorable prognostic factors for T4 EC with TBI [[10]]. Among patients with locally advanced esophageal cancer and adjacent organ invasion, the median survival times (MSTs) after definitive CRT, bypass surgery plus CRT, and CRT followed by esophagectomy were 10.4, 11.0, and 16.4 months, respectively, and MST did not differ significantly among the three groups [[22]]. To our knowledge, this is the first study to compare CRT-S with D-CRT in patients with locally advanced inoperable ESCC who were downstaged after neo-CRT. The 8 patients enrolled in a single-arm, single-center, investigator-initiated, exploratory phase II clinical trial (ClinicalTrials.gov NCT04137679) were allocated randomly according to the randomization system. For the remaining 98 patients, physicians presented both treatment options in an unbiased manner, and patients and physicians made the final decision together, consistent with the basic principle of respecting patients’ right to informed consent. After propensity score matching (PSM), no significant differences in patient characteristics were observed between the CRT-S and D-CRT groups. Although we acknowledge the inherent limitations of retrospective studies, surgery after neo-CRT may improve survival and reduce recurrence compared with D-CRT in patients with locally advanced inoperable ESCC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