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We retrospectively enrolled participants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participants were staged according to the 8th edition of the American Joint Committee on Cancer (AJCC) staging manual.</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participants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Participants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participants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participants’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Participants in the CRT-S group received a 40-Gy radiation dose (2 Gy once daily in 20 fractions, 5 days a week) and were scheduled to undergo resection 4–6 weeks after having completed induction chemoradiation. Participants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participants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