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 Alongside the development of more effective treatments, there is growing interest in identifying readily available pretreatment biomarkers that predict the outcome of chemo‐immunotherapy; for instance, in a prospective cohort of 53 patients with extensive‐stage small‐cell lung cancer treated with first‐line chemotherapy plus atezolizumab, Qi et al.[24] found that a high pretreatment platelet‐to‐lymphocyte ratio was the only independent predictor of worse overall survival (HR 4.63, 95% CI 1.00–21.46) and was significantly associated with poorer progression‐free survival, results that were confirmed in an external validation cohort.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