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Pr>
          <w:rFonts w:ascii="Times New Roman" w:hAnsi="Times New Roman" w:eastAsia="宋体"/>
          <w:sz w:val="24"/>
          <w:szCs w:val="24"/>
        </w:rPr>
        <w:t xml:space="preserve">This study was a retrospective analysis of prospectively collected data from patients with ESCC who received neo‐CRT plus pembrolizumab at the Department of Radiation Oncology, Ruijin Hospital, Shanghai Jiaotong University School of Medicine, between March 2019 and March 2022. Patients were identified from two prospective trials conducted at our institution (PALACE‐1, NCT04435197, and PALACE‐2). </w:t>
      </w:r>
      <w:commentRangeStart w:id="0"/>
      <w:r>
        <w:rPr>
          <w:rFonts w:ascii="Times New Roman" w:hAnsi="Times New Roman" w:eastAsia="宋体"/>
          <w:sz w:val="24"/>
          <w:szCs w:val="24"/>
        </w:rPr>
        <w:t xml:space="preserve">Eligible patients were aged ≥18 years, had histologically confirmed, locally advanced, non‐metastatic ESCC (clinical stage III–IVA according to the eighth edition of the AJCC staging system), an ECOG performance status of 0–1, adequate hematological, hepatic, and renal function, and no previous anticancer therapy; the full inclusion and exclusion criteria have been reported previously.[9]</w:t>
      </w:r>
      <w:commentRangeEnd w:id="0"/>
      <w:r>
        <w:rPr>
          <w:rStyle w:val="CommentReference"/>
        </w:rPr>
        <w:commentReference w:id="0"/>
      </w:r>
      <w:r>
        <w:rPr>
          <w:rFonts w:ascii="Times New Roman" w:hAnsi="Times New Roman" w:eastAsia="宋体"/>
          <w:sz w:val="24"/>
          <w:szCs w:val="24"/>
        </w:rPr>
        <w:t xml:space="preserve"> Clinical data were extracted from the trial databases and hospital electronic medical records using a standardized case report form, and baseline laboratory values were obtained from the routine pre‐treatment blood tests. Patients were followed up every 3 months during the first year after treatment and every 6 months thereafter, and the data cutoff for the present analysis was June 20, 2022. </w:t>
      </w:r>
      <w:commentRangeStart w:id="1"/>
      <w:r>
        <w:rPr>
          <w:rFonts w:ascii="Times New Roman" w:hAnsi="Times New Roman" w:eastAsia="宋体"/>
          <w:sz w:val="24"/>
          <w:szCs w:val="24"/>
        </w:rPr>
        <w:t xml:space="preserve">The study was approved by the Ethics Committee of Ruijin Hospital and was conducted in accordance with the Declaration of Helsinki and with institutional and national standards on human experimentation.</w:t>
      </w:r>
      <w:commentRangeEnd w:id="1"/>
      <w:r>
        <w:rPr>
          <w:rStyle w:val="CommentReference"/>
        </w:rPr>
        <w:commentReference w:id="1"/>
      </w:r>
      <w:r>
        <w:rPr>
          <w:rFonts w:ascii="Times New Roman" w:hAnsi="Times New Roman" w:eastAsia="宋体"/>
          <w:sz w:val="24"/>
          <w:szCs w:val="24"/>
        </w:rPr>
        <w:t xml:space="preserve"> Written informed consent was obtained from all participants.</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demonstrated that various clinical IBs, such as NLR, LMR, and PLR, are significantly associated with clinical outcomes in numerous types of cancer, as cancer‐related inflammation plays an important role in cancer development and disease progression.[38] Recent research has focused on the potential predictor for cancer patients treated with ICIs, and several inflammatory indexes, such as the NLR,[39], [40] nutritional index,[41] LMR,[42] have also been reported as potential predictors of the effectiveness of anti‐PD‐1 antibody therapy. However, the prognostic of inflammatory and nutritional indexes in ESCC treated with neo‐CRT and ICIs remains unknown. In the present study, we demonstrate that a higher level of baseline peripheral ALC indicates a better survival outcome and archiving pCR when compared to low level of ALC among ESCC patients treated with neo‐CRT and pembrolizumab. One possible explanation for this finding is that lymphocytes play an essential role in mediating cellular immunity against tumor cells. A high level of lymphocytes could enhance the lymphocyte‐medicated antitumor immune response when concurrently used with pembrolizumab. Another possible explanation is that pretreatment ALC might be associated with disease status. Van Rossum et al. reported that patients with a lower baseline ALC were found to have the highest probability of developing grade 4 lymphopenia during CRT for esophageal cancer.[43] Ray‐Coquard et al. reported that lymphopenia was significantly more frequent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in metastatic breast cancer patients with performance status of &gt;1.[44] Fogar et al. found that lower circulating lymphocytes were found in patients with advanced pancreatic cancer who presented at advanced stages (stage IIB–IV,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compared with stages 0 to IIA.[45] Based on our findings, for patients with baseline low level of ALC, radiation oncologists should pay more attention to the radiation field in order to protect the lymphocytes and the host immune system. In the present study, all patients were treated with involved field irradiation (IFI), CTV consisting of GTV with 3‐cm craniocaudal margin and only the malignant node is irradiated in order to decrease irradiation volume and achieve a pCR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