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Multiple previous studies have demonstrated that various clinical IBs, such as the NLR, LMR, and PLR, are significantly associated with clinical outcomes in numerous types of cancer, as cancer‐related inflammation plays an important role in cancer development and disease progression.[38] Recent research has focused on identifying potential predictors for cancer patients treated with ICIs, and several inflammatory indexes, such as the NLR,[39], [40] nutritional index,[41] and LMR,[42] have also been reported as potential predictors of the effectiveness of anti‐PD‐1 antibody therapy. However, the prognostic value of inflammatory and nutritional indexes in ESCC treated with neo‐CRT and ICIs remains unknown. In the present study, we demonstrate that a higher baseline peripheral ALC is associated with a better survival outcome and a higher probability of achieving pCR than a low ALC among ESCC patients treated with neo‐CRT and pembrolizumab. One possible explanation for this finding is that lymphocytes play an essential role in mediating cellular immunity against tumor cells. A high level of lymphocytes could enhance the lymphocyte‐mediated antitumor immune response when pembrolizumab is administered concurrently. Another possible explanation is that pretreatment ALC might be associated with disease status. Van Rossum et al. reported that patients with a lower baseline ALC had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a performance status of &gt;1.[44] Fogar et al. found that lower circulating lymphocyte counts were observed in patients with advanced pancreatic cancer who presented at advanced stages (stages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a low baseline ALC, radiation oncologists should pay more attention to the radiation field in order to protect lymphocytes and the host immune system. In the present study, all patients were treated with involved field irradiation (IFI), with the CTV consisting of the GTV plus a 3‐cm craniocaudal margin and only the malignant node being irradiated, in order to decrease the irradiation volume and achieve a pCR rate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