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Regarding treatment-related adverse events, although E. Jean-Mary et al. ([19]) reported that ENI was feasible when the surrounding tissues did not receive high doses, they addressed this issue only in terms of the target volume and the dose delivered to organs at risk, without considering actual clinical outcomes. In the present study, IFI was associated with a significantly lower incidence of grade ≥2 AE, consistent with T. Li et al. ([46]), and the subgroup analyses were also consistent with this conclusion. No difference was observed in the incidence of grade ≥2 AP between the two groups. Only the RCTs showed a significantly lower incidence of grade ≥2 AP with IFI, which differs from the overall conclusion and from those of the other subgroup analyses; this discrepancy may be explained by the possibility that retrospective analyses evaluate adverse events more accurately than RCTs. Further prospective studies are therefore needed to validate this finding. In the present study, IFI was associated with a significant reduction in the incidence of grade ≥3 AE compared with ENI, consistent with most previous studies ([45], [49], [50]). Compared with the 3D-CRT and 3D-IMRT–mixed subgroups, no difference in the incidence of grade ≥3 AE was observed in the IMRT subgroup, possibly because IMRT attenuates the difference in the incidence of grade ≥3 AE between the two groups. Another notable finding of our systematic review was that no differences in the incidence of grade ≥3 AP were observed between the two groups or across the other subgroups, consistent with Zhu et al. ([45]) but differing from Cheng et al. ([49]) and Jing et al. ([50]). The databases searched by these two groups included the China National Knowledge Infrastructure (CNKI) and the Chinese Biomedical Literature Database but not Web of Science, which differs from the databases used in the present study. Moreover, the studies by Jing et al. ([50]) and Cheng et al. ([49]) were published before 2015, with the exception of one study by Cheng et al. Most of their treatment regimens consisted of radiotherapy alone, in which patients received higher radiation doses, which may account for the difference in the incidence of grade ≥3 AP between patients receiving IFI and those receiving ENI. Few studies reported late treatment-related adverse events. Our systematic review found no difference in the incidence of grade ≥3 LE, consistent with Zhu et al. ([45]). Zhu et al. ([45]) reported that IFI was associated with a decrease in the incidence of grade ≥3 LP compared with ENI; this finding differs from our results, in which no difference was observed. Zhu et al. ([45]) included four studies in their analysis of the incidence of grade ≥3 LP; in contrast, we included five studies, four of which overlapped with those of Zhu et al. ([45]). We additionally included a study by Zang et al. ([41]), which reported an RR of 2.44 (95% CI, 0.83–7.23), with a high upper limit of the confidence interval. Because both the study by Zhu et al. and the present study included only a few studies, firm conclusions regarding the incidence of grade ≥3 LP cannot be drawn.</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