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.14, high certainty) with no significant heterogeneity (P = .34;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.70; high certainty) with no significant heterogeneity (P = .05;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.001; I2, 71%). As studies by Nakatani et al. ([24]), Q. F. Li et al. ([26]), and Zhu et al. ([22]) contributed significantly and weighted similarly, we excluded these three studies and found that the 3-year OS rates remained unchanged (pooled RR, 0.93; 95% CI, 0.85–1.02; P = .15; moderate certainty), with no significant heterogeneity (P = .15;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.001; I2, 74%). Subsequently, we excluded the study by Nakatani et al. ([24]) and found that the IFI group had a significant advantage over the ENI group in terms of 5-year OS rates (pooled RR, 0.78; 95% CI, 0.68–0.90; P &lt; .001;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 .31;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&lt; .001;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.03; I2, 53%). Therefore, we excluded the study by Lyu et al. ([25]) and found that IFI demonstrated a significant decrease in the incidence of grade ≥2 AE compared with ENI (pooled RR, 0.79; 95% CI, 0.68–0.91; P = .001;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.03; I2, 56%). Hence, we removed Shen et al. ([42]) and found that the results were unchanged (pooled RR, 0.83; 95% CI, 0.66–1.04; P = .10;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.001; high certainty) with no heterogeneity (P = .32;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.78; high certainty) with no heterogeneity (P = .21;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 .81;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including two RCTs ([41], [44]) and three non-RCTs ([33], [37], [40]), and no differences were observed (pooled RR, 0.78; 95% CI, 0.42–1.42; P = .41;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&lt; .001;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.001; I2, 71%). Subsequently, we excluded the study by Nakatani et al. ([24]) and re-evaluated the 5-year PFS rate. We showed that the IFI group had an advantage over the ENI group (pooled RR, 0.81; 95% CI, 0.70–0.93; P = .003;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with no heterogeneity (P = .40;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