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Pr>
          <w:rFonts w:ascii="Times New Roman" w:hAnsi="Times New Roman" w:eastAsia="宋体"/>
          <w:sz w:val="24"/>
          <w:szCs w:val="24"/>
        </w:rPr>
        <w:t>No high-level evidence supports PORT with 3D-CRT/IMRT after complete resection and adjuvant chemotherapy in patients with pIIIA-N2 NSCLC. In this PORT-C study, PORT did not prolong DFS in the unadjusted analysis in the mITT population. To the best of our knowledge, this is the first phase 3 RCT to complete patient accrual and meet its primary end poi (see Supplementary Table S2, S3, S4)nt.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