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commentRangeStart w:id="0"/>
      <w:r>
        <w:rPr>
          <w:rFonts w:ascii="Times New Roman" w:hAnsi="Times New Roman" w:eastAsia="宋体"/>
          <w:sz w:val="24"/>
          <w:szCs w:val="24"/>
        </w:rPr>
        <w:t xml:space="preserve">The data of patients with cervical esophageal squamous cell carcinoma (CESCC) who were treated with definitive concurrent chemoradiotherapy (dCCRT) with ENI or IFI at the Fourth Hospital of Hebei Medical University (Shijiazhuang, Hebei Province, China), a tertiary referral centre, were retrospectively reviewed. This was a single-centre, retrospective cohort study covering the period from 1 January 2007 to 31 December 2020. Consecutive patients were identified from the radiotherapy database and medical records of the Department of Radiation Oncology by searching for the diagnosis of cervical esophageal cancer and treatment with dCCRT; a total of 406 patients were retrieved.</w:t>
      </w:r>
      <w:commentRangeEnd w:id="0"/>
      <w:r>
        <w:rPr>
          <w:rStyle w:val="CommentReference"/>
        </w:rPr>
        <w:commentReference w:id="0"/>
      </w:r>
      <w:r>
        <w:rPr>
          <w:rFonts w:ascii="Times New Roman" w:hAnsi="Times New Roman" w:eastAsia="宋体"/>
          <w:sz w:val="24"/>
          <w:szCs w:val="24"/>
        </w:rPr>
        <w:t xml:space="preserve"> The flow of patients through screening, exclusion and inclusion, together with the reasons for exclusion, is shown in Fig. 1. Baseline demographic, tumour, treatment and follow-up data were extracted from the medical records using a standardised data-collection form. Because all consecutive patients who fulfilled the eligibility criteria during the study period were included, no a priori sample-size calculation was performed. Initial staging consisted of medical examination, endoscopy, esophageal barium radiography, computed tomography (CT) of the neck, chest and abdomen, and 18F-fluorodeoxyglucose positron emission tomography (18F-FDG PET) when available; PET was not covered by medical insurance. All patients were restaged according to the American Joint Committee on Cancer (AJCC) 8th edition criteria. Patients were considered eligible if they met the following criteria: (1) histologically confirmed esophageal squamous cell carcinoma; (2) primary tumour located in the cervical esophagus; (3) clinical stage II–IV disease according to the AJCC 8th edition; and (4) treatment with definitive radiotherapy using three-dimensional conformal radiotherapy (3D-CRT) or intensity-modulated radiotherapy (IMRT) and concurrent chemotherapy. Patients were excluded if they had (1) non-squamous cell histology or multiple primary cancers; (2) distant metastases at diagnosis; (3) an Eastern Cooperative Oncology Group (ECOG) performance status (PS) score &gt; 2; (4) a history of malignant neoplasm; (5) severe dysfunction of organs such as the heart, liver and kidney; (6) no concurrent chemotherapy or receipt of radiotherapy alone; (7) a radiotherapy dose &lt; 50 Gy; or (8) missing clinical data.</w:t>
      </w:r>
      <w:commentRangeStart w:id="1"/>
      <w:r>
        <w:rPr>
          <w:rFonts w:ascii="Times New Roman" w:hAnsi="Times New Roman" w:eastAsia="宋体"/>
          <w:sz w:val="24"/>
          <w:szCs w:val="24"/>
        </w:rPr>
        <w:t xml:space="preserve"> The retrospective collection and analysis of the data were approved by the Institutional Review Board of the Fourth Hospital of Hebei Medical University.</w:t>
      </w:r>
      <w:commentRangeEnd w:id="1"/>
      <w:r>
        <w:rPr>
          <w:rStyle w:val="CommentReference"/>
        </w:rPr>
        <w:commentReference w:id="1"/>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