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comments.xml" ContentType="application/vnd.openxmlformats-officedocument.wordprocessingml.comments+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xmlns:w14="http://schemas.microsoft.com/office/word/2010/wordml" xmlns:mc="http://schemas.openxmlformats.org/markup-compatibility/2006" mc:Ignorable="w14">
  <w:body>
    <w:p w14:paraId="1A2B3C01" w14:textId="77777777" w:rsidR="00A1B2C3" w:rsidRDefault="00A1B2C3">
      <w:pPr>
        <w:pStyle w:val="Heading1"/>
      </w:pPr>
      <w:r w:rsidRPr="00C4D5E6">
        <w:rPr>
          <w:rFonts w:ascii="Times New Roman" w:hAnsi="Times New Roman" w:eastAsia="宋体"/>
          <w:sz w:val="24"/>
          <w:szCs w:val="24"/>
        </w:rPr>
        <w:t xml:space="preserve">Addition of Induction or Consolidation Chemotherapy in Definitive Concurrent Chemoradiotherapy Versus Concurrent Chemoradiotherapy Alone for Patients With Unresectable Esophageal Cancer: A Systematic Review and Meta-Analysis</w:t>
      </w:r>
    </w:p>
    <w:p w14:paraId="1A2B3C02" w14:textId="77777777" w:rsidR="00A1B2C3" w:rsidRDefault="00A1B2C3">
      <w:pPr>
        <w:pStyle w:val="Heading2"/>
      </w:pPr>
      <w:r w:rsidRPr="00C4D5E6">
        <w:rPr>
          <w:rFonts w:ascii="Times New Roman" w:hAnsi="Times New Roman" w:eastAsia="宋体"/>
          <w:sz w:val="24"/>
          <w:szCs w:val="24"/>
        </w:rPr>
        <w:t xml:space="preserve">Abstract</w:t>
      </w:r>
    </w:p>
    <w:p w14:paraId="1A2B3C03" w14:textId="77777777" w:rsidR="00A1B2C3" w:rsidRDefault="00A1B2C3">
      <w:pPr>
        <w:spacing w:line="480" w:lineRule="auto"/>
        <w:ind w:firstLine="480"/>
        <w:jc w:val="both"/>
      </w:pPr>
      <w:r w:rsidRPr="00C4D5E6">
        <w:rPr>
          <w:b/>
          <w:rFonts w:ascii="Times New Roman" w:hAnsi="Times New Roman" w:eastAsia="宋体"/>
          <w:sz w:val="24"/>
          <w:szCs w:val="24"/>
        </w:rPr>
        <w:t xml:space="preserve">Background:</w:t>
      </w:r>
      <w:r w:rsidRPr="00C4D5E6">
        <w:rPr>
          <w:rFonts w:ascii="Times New Roman" w:hAnsi="Times New Roman" w:eastAsia="宋体"/>
          <w:sz w:val="24"/>
          <w:szCs w:val="24"/>
        </w:rPr>
        <w:t xml:space="preserve"> Concurrent chemoradiotherapy (CCRT) has become the standard of care in esophageal carcinoma patients who are not surgical candidates. The efficacy of induction chemotherapy (IC) or consolidation chemotherapy (CCT) for unresectable esophageal cancer (EC) treated with CCRT is unclear. We performed a systematic review and meta-analysis of published papers to evaluate the potential benefit of IC or CCT for patients with EC.</w:t>
      </w:r>
    </w:p>
    <w:p w14:paraId="1A2B3C04" w14:textId="77777777" w:rsidR="00A1B2C3" w:rsidRDefault="00A1B2C3">
      <w:pPr>
        <w:spacing w:line="480" w:lineRule="auto"/>
        <w:ind w:firstLine="480"/>
        <w:jc w:val="both"/>
      </w:pPr>
      <w:r w:rsidRPr="00C4D5E6">
        <w:rPr>
          <w:b/>
          <w:rFonts w:ascii="Times New Roman" w:hAnsi="Times New Roman" w:eastAsia="宋体"/>
          <w:sz w:val="24"/>
          <w:szCs w:val="24"/>
        </w:rPr>
        <w:t xml:space="preserve">Methods:</w:t>
      </w:r>
      <w:r w:rsidRPr="00C4D5E6">
        <w:rPr>
          <w:rFonts w:ascii="Times New Roman" w:hAnsi="Times New Roman" w:eastAsia="宋体"/>
          <w:sz w:val="24"/>
          <w:szCs w:val="24"/>
        </w:rPr>
        <w:t xml:space="preserve"> Eligible studies of IC followed by CCRT (IC-CCRT) </w:t>
      </w:r>
      <w:r w:rsidRPr="00C4D5E6">
        <w:rPr>
          <w:i/>
          <w:rFonts w:ascii="Times New Roman" w:hAnsi="Times New Roman" w:eastAsia="宋体"/>
          <w:sz w:val="24"/>
          <w:szCs w:val="24"/>
        </w:rPr>
        <w:t xml:space="preserve">vs</w:t>
      </w:r>
      <w:r w:rsidRPr="00C4D5E6">
        <w:rPr>
          <w:rFonts w:ascii="Times New Roman" w:hAnsi="Times New Roman" w:eastAsia="宋体"/>
          <w:sz w:val="24"/>
          <w:szCs w:val="24"/>
        </w:rPr>
        <w:t xml:space="preserve">. CCRT alone or CCRT followed by CCT (CCRT-CCT) </w:t>
      </w:r>
      <w:r w:rsidRPr="00C4D5E6">
        <w:rPr>
          <w:i/>
          <w:rFonts w:ascii="Times New Roman" w:hAnsi="Times New Roman" w:eastAsia="宋体"/>
          <w:sz w:val="24"/>
          <w:szCs w:val="24"/>
        </w:rPr>
        <w:t xml:space="preserve">vs</w:t>
      </w:r>
      <w:r w:rsidRPr="00C4D5E6">
        <w:rPr>
          <w:rFonts w:ascii="Times New Roman" w:hAnsi="Times New Roman" w:eastAsia="宋体"/>
          <w:sz w:val="24"/>
          <w:szCs w:val="24"/>
        </w:rPr>
        <w:t xml:space="preserve">. CCRT alone were retrieved through extensive searches of the PubMed, Science Direct, Embase, and Cochrane Library databases from the establishment of the database to July 31, 2021. Data such as 1-, 2-, 3-, and 5-year overall survival (OS), local recurrence rate (LRR), and distant metastasis rate (DMR) were collected for meta-analysis to evaluate the efficacy of IC/CCT.</w:t>
      </w:r>
    </w:p>
    <w:p w14:paraId="1A2B3C05" w14:textId="77777777" w:rsidR="00A1B2C3" w:rsidRDefault="00A1B2C3">
      <w:pPr>
        <w:spacing w:line="480" w:lineRule="auto"/>
        <w:ind w:firstLine="480"/>
        <w:jc w:val="both"/>
      </w:pPr>
      <w:r w:rsidRPr="00C4D5E6">
        <w:rPr>
          <w:b/>
          <w:rFonts w:ascii="Times New Roman" w:hAnsi="Times New Roman" w:eastAsia="宋体"/>
          <w:sz w:val="24"/>
          <w:szCs w:val="24"/>
        </w:rPr>
        <w:t xml:space="preserve">Results:</w:t>
      </w:r>
      <w:r w:rsidRPr="00C4D5E6">
        <w:rPr>
          <w:rFonts w:ascii="Times New Roman" w:hAnsi="Times New Roman" w:eastAsia="宋体"/>
          <w:sz w:val="24"/>
          <w:szCs w:val="24"/>
        </w:rPr>
        <w:t xml:space="preserve"> Four studies of IC-CCRT </w:t>
      </w:r>
      <w:r w:rsidRPr="00C4D5E6">
        <w:rPr>
          <w:i/>
          <w:rFonts w:ascii="Times New Roman" w:hAnsi="Times New Roman" w:eastAsia="宋体"/>
          <w:sz w:val="24"/>
          <w:szCs w:val="24"/>
        </w:rPr>
        <w:t xml:space="preserve">vs</w:t>
      </w:r>
      <w:r w:rsidRPr="00C4D5E6">
        <w:rPr>
          <w:rFonts w:ascii="Times New Roman" w:hAnsi="Times New Roman" w:eastAsia="宋体"/>
          <w:sz w:val="24"/>
          <w:szCs w:val="24"/>
        </w:rPr>
        <w:t xml:space="preserve">. CCRT including 836 EC patients and six studies of CCRT-CCT </w:t>
      </w:r>
      <w:r w:rsidRPr="00C4D5E6">
        <w:rPr>
          <w:i/>
          <w:rFonts w:ascii="Times New Roman" w:hAnsi="Times New Roman" w:eastAsia="宋体"/>
          <w:sz w:val="24"/>
          <w:szCs w:val="24"/>
        </w:rPr>
        <w:t xml:space="preserve">vs</w:t>
      </w:r>
      <w:r w:rsidRPr="00C4D5E6">
        <w:rPr>
          <w:rFonts w:ascii="Times New Roman" w:hAnsi="Times New Roman" w:eastAsia="宋体"/>
          <w:sz w:val="24"/>
          <w:szCs w:val="24"/>
        </w:rPr>
        <w:t xml:space="preserve">. CCRT including 1,339 patients with esophageal squamous cell carcinoma (ESCC) were finally identified in our analysis. Both IC-CCRT group [hazard ratio (HR) 0.446, 95% CI 0.286–0.693; p &lt; 0.001] and CCRT-CCT group (HR 0.542, 95% CI 0.410–0.716; p &lt; 0.001) exhibited statistically significant improvement in 1-year OS rate compared to that of CCRT, while the 2-year OS rate of IC-CCRT (HR 0.803, 95% CI 0.589–1.095; p = 0.166) or CCRT-CCT (HR 0.783, 95% CI 0.600–1.022; p = 0.072) was similar with that of CCRT. And the 3-year OS rate between IC-CCRT and CCRT was similar (HR 1.065, 95% CI 0.789–1.439; p = 0.680). However, comparing with CCRT alone, the CCRT-CCT group had lower DMR [odds ratio (OR) 1.562, 95% CI 1.090–2.240; p = 0.015] and higher 3-year OS rate (HR 0.786, 95% CI 0.625–0.987; p = 0.039). Besides, no differences were observed between the CCRT-CCT and CCRT groups in 5-year OS rate (HR 0.923, 95% CI 0.706–1.205; p = 0.555) and LRR (OR 0.899, 95% CI 0.686–1.179; p = 0.441).</w:t>
      </w:r>
    </w:p>
    <w:p w14:paraId="1A2B3C06" w14:textId="77777777" w:rsidR="00A1B2C3" w:rsidRDefault="00A1B2C3">
      <w:pPr>
        <w:spacing w:line="480" w:lineRule="auto"/>
        <w:ind w:firstLine="480"/>
        <w:jc w:val="both"/>
      </w:pPr>
      <w:r w:rsidRPr="00C4D5E6">
        <w:rPr>
          <w:b/>
          <w:rFonts w:ascii="Times New Roman" w:hAnsi="Times New Roman" w:eastAsia="宋体"/>
          <w:sz w:val="24"/>
          <w:szCs w:val="24"/>
        </w:rPr>
        <w:t xml:space="preserve">Conclusion:</w:t>
      </w:r>
      <w:r w:rsidRPr="00C4D5E6">
        <w:rPr>
          <w:rFonts w:ascii="Times New Roman" w:hAnsi="Times New Roman" w:eastAsia="宋体"/>
          <w:sz w:val="24"/>
          <w:szCs w:val="24"/>
        </w:rPr>
        <w:t xml:space="preserve"> The study revealed the short-time survival benefit of additional IC or CCT compared to CCRT alone for patients with unresectable EC, and CCRT followed by CCT could significantly reduce the risk of distant metastases.</w:t>
      </w:r>
    </w:p>
    <w:p w14:paraId="1A2B3C07" w14:textId="77777777" w:rsidR="00A1B2C3" w:rsidRDefault="00A1B2C3">
      <w:pPr>
        <w:spacing w:line="480" w:lineRule="auto"/>
        <w:ind w:firstLine="480"/>
        <w:jc w:val="both"/>
      </w:pPr>
      <w:r w:rsidRPr="00C4D5E6">
        <w:rPr>
          <w:b/>
          <w:rFonts w:ascii="Times New Roman" w:hAnsi="Times New Roman" w:eastAsia="宋体"/>
          <w:sz w:val="24"/>
          <w:szCs w:val="24"/>
        </w:rPr>
        <w:t xml:space="preserve">:</w:t>
      </w:r>
      <w:r w:rsidRPr="00C4D5E6">
        <w:rPr>
          <w:rFonts w:ascii="Times New Roman" w:hAnsi="Times New Roman" w:eastAsia="宋体"/>
          <w:sz w:val="24"/>
          <w:szCs w:val="24"/>
        </w:rPr>
        <w:t xml:space="preserve"> </w:t>
      </w:r>
      <w:r w:rsidRPr="00C4D5E6">
        <w:rPr>
          <w:b/>
          <w:rFonts w:ascii="Times New Roman" w:hAnsi="Times New Roman" w:eastAsia="宋体"/>
          <w:sz w:val="24"/>
          <w:szCs w:val="24"/>
        </w:rPr>
        <w:t xml:space="preserve">Keywords:</w:t>
      </w:r>
      <w:r w:rsidRPr="00C4D5E6">
        <w:rPr>
          <w:rFonts w:ascii="Times New Roman" w:hAnsi="Times New Roman" w:eastAsia="宋体"/>
          <w:sz w:val="24"/>
          <w:szCs w:val="24"/>
        </w:rPr>
        <w:t xml:space="preserve"> concurrent chemoradiotherapy, induction chemotherapy, consolidation chemotherapy, meta-analysis, esophageal cancer</w:t>
      </w:r>
    </w:p>
    <w:p w14:paraId="1A2B3C08" w14:textId="77777777" w:rsidR="00A1B2C3" w:rsidRDefault="00A1B2C3">
      <w:pPr>
        <w:pStyle w:val="Heading2"/>
      </w:pPr>
      <w:r w:rsidRPr="00C4D5E6">
        <w:rPr>
          <w:rFonts w:ascii="Times New Roman" w:hAnsi="Times New Roman" w:eastAsia="宋体"/>
          <w:sz w:val="24"/>
          <w:szCs w:val="24"/>
        </w:rPr>
        <w:t xml:space="preserve">Introduction</w:t>
      </w:r>
    </w:p>
    <w:p w14:paraId="1A2B3C09" w14:textId="77777777" w:rsidR="00A1B2C3" w:rsidRDefault="00A1B2C3">
      <w:pPr>
        <w:spacing w:line="480" w:lineRule="auto"/>
        <w:ind w:firstLine="480"/>
        <w:jc w:val="both"/>
      </w:pPr>
      <w:r w:rsidRPr="00C4D5E6">
        <w:rPr>
          <w:rFonts w:ascii="Times New Roman" w:hAnsi="Times New Roman" w:eastAsia="宋体"/>
          <w:sz w:val="24"/>
          <w:szCs w:val="24"/>
        </w:rPr>
        <w:t xml:space="preserve">Radiotherapy plays an important role in the comprehensive treatment of esophageal carcinoma. The RTOG 85-01 trial has demonstrated that concurrent chemoradiotherapy (CCRT) is superior to radiation alone, with a favorable long-term survival for nonoperative esophageal cancer (EC) patients ([1]). Although CCRT is the standard treatment for patients with locally advanced disease who are not surgical candidates or refuse surgery, the local recurrence rate (LRR) of CCRT remains up to 40%–60%, and the 5-year survival rate is extremely low once recurrence occurs ([2], [3]). Therefore, several intensified treatment modalities have been attempted to improve treatment outcomes, such as the addition of induction chemotherapy (IC) or consolidation chemotherapy (CCT).</w:t>
      </w:r>
    </w:p>
    <w:p w14:paraId="1A2B3C0A" w14:textId="77777777" w:rsidR="00A1B2C3" w:rsidRDefault="00A1B2C3">
      <w:pPr>
        <w:spacing w:line="480" w:lineRule="auto"/>
        <w:ind w:firstLine="480"/>
        <w:jc w:val="both"/>
      </w:pPr>
      <w:r w:rsidRPr="00C4D5E6">
        <w:rPr>
          <w:rFonts w:ascii="Times New Roman" w:hAnsi="Times New Roman" w:eastAsia="宋体"/>
          <w:sz w:val="24"/>
          <w:szCs w:val="24"/>
        </w:rPr>
        <w:t xml:space="preserve">Theoretically, the additional IC followed by CCRT (IC-CCRT) has potential benefit on response rate, early eradication of micrometastases, increased tumor radiosensitivity, and even prolonged overall survival (OS) because of tumor shrinkage ([4]). Byfield et al. ([5]) conducted the first clinical trial of IC followed by radiotherapy alone for EC patients in the 1980s, which achieved inspiring results. In contrast, Chen et al. ([6]) concluded that the additional IC failed to prolong OS, locoregional failure-free survival, or distant failure-free survival compared with CCRT alone.</w:t>
      </w:r>
    </w:p>
    <w:p w14:paraId="1A2B3C0B" w14:textId="77777777" w:rsidR="00A1B2C3" w:rsidRDefault="00A1B2C3">
      <w:pPr>
        <w:spacing w:line="480" w:lineRule="auto"/>
        <w:ind w:firstLine="480"/>
        <w:jc w:val="both"/>
      </w:pPr>
      <w:r w:rsidRPr="00C4D5E6">
        <w:rPr>
          <w:rFonts w:ascii="Times New Roman" w:hAnsi="Times New Roman" w:eastAsia="宋体"/>
          <w:sz w:val="24"/>
          <w:szCs w:val="24"/>
        </w:rPr>
        <w:t xml:space="preserve">CCT is defined as prolonged chemotherapy duration by administration of additional drugs at the end of a defined number of initial chemotherapy cycles after achieving a maximum tumor response in an individual patient. The rationale for CCT is based on a hypothesis stating that the early use of non-cross-resistant agents might increase the probability of killing more cancer cells ([7]). To date, several studies have been conducted to explore the efficacy of CCT for non-small-cell lung cancer patients, which all demonstrated that these management strategies were ineffective ([8]–[10]). Actually, patients received CCT following CCRT in RTOG 85-01 trials ([1]); the reason why RTOG investigators added CCT to CRT had not been clarified. Up to now, the reports on CCRT followed by CCT (CCRT-CCT) were rare for EC patients, and the results were conflicting.</w:t>
      </w:r>
    </w:p>
    <w:p w14:paraId="1A2B3C0C" w14:textId="77777777" w:rsidR="00A1B2C3" w:rsidRDefault="00A1B2C3">
      <w:pPr>
        <w:spacing w:line="480" w:lineRule="auto"/>
        <w:ind w:firstLine="480"/>
        <w:jc w:val="both"/>
      </w:pPr>
      <w:r w:rsidRPr="00C4D5E6">
        <w:rPr>
          <w:rFonts w:ascii="Times New Roman" w:hAnsi="Times New Roman" w:eastAsia="宋体"/>
          <w:sz w:val="24"/>
          <w:szCs w:val="24"/>
        </w:rPr>
        <w:t xml:space="preserve">Due to a few publications, inconsistent conclusions, and lack of prospective randomized controlled studies, the value of the addition of IC or CCT for EC patients remains controversial. Thus, our study aimed to evaluate the outcomes of IC-CCRT or CCRT-CCT </w:t>
      </w:r>
      <w:r w:rsidRPr="00C4D5E6">
        <w:rPr>
          <w:i/>
          <w:rFonts w:ascii="Times New Roman" w:hAnsi="Times New Roman" w:eastAsia="宋体"/>
          <w:sz w:val="24"/>
          <w:szCs w:val="24"/>
        </w:rPr>
        <w:t xml:space="preserve">vs</w:t>
      </w:r>
      <w:r w:rsidRPr="00C4D5E6">
        <w:rPr>
          <w:rFonts w:ascii="Times New Roman" w:hAnsi="Times New Roman" w:eastAsia="宋体"/>
          <w:sz w:val="24"/>
          <w:szCs w:val="24"/>
        </w:rPr>
        <w:t xml:space="preserve">. CCRT alone in unresectable EC by means of a systematic review and meta-analysis, which could further provide better clinical guidance for the treatment of EC.</w:t>
      </w:r>
    </w:p>
    <w:p w14:paraId="1A2B3C0D" w14:textId="77777777" w:rsidR="00A1B2C3" w:rsidRDefault="00A1B2C3">
      <w:pPr>
        <w:pStyle w:val="Heading2"/>
      </w:pPr>
      <w:r w:rsidRPr="00C4D5E6">
        <w:rPr>
          <w:rFonts w:ascii="Times New Roman" w:hAnsi="Times New Roman" w:eastAsia="宋体"/>
          <w:sz w:val="24"/>
          <w:szCs w:val="24"/>
        </w:rPr>
        <w:t xml:space="preserve">Methods</w:t>
      </w:r>
    </w:p>
    <w:p w14:paraId="1A2B3C0E" w14:textId="77777777" w:rsidR="00A1B2C3" w:rsidRDefault="00A1B2C3">
      <w:pPr>
        <w:pStyle w:val="Heading3"/>
      </w:pPr>
      <w:r w:rsidRPr="00C4D5E6">
        <w:rPr>
          <w:rFonts w:ascii="Times New Roman" w:hAnsi="Times New Roman" w:eastAsia="宋体"/>
          <w:sz w:val="24"/>
          <w:szCs w:val="24"/>
        </w:rPr>
        <w:t xml:space="preserve">Search Strategy</w:t>
      </w:r>
    </w:p>
    <w:p xmlns:w="http://schemas.openxmlformats.org/wordprocessingml/2006/main" xmlns:w14="http://schemas.microsoft.com/office/word/2010/wordml" xmlns:r="http://schemas.openxmlformats.org/officeDocument/2006/relationships" xmlns:wp="http://schemas.openxmlformats.org/drawingml/2006/wordprocessingDrawing" xmlns:a="http://schemas.openxmlformats.org/drawingml/2006/main" xmlns:pic="http://schemas.openxmlformats.org/drawingml/2006/picture" xmlns:mc="http://schemas.openxmlformats.org/markup-compatibility/2006" w14:paraId="1A2B3C0F" w14:textId="77777777" w:rsidR="00A1B2C3" w:rsidRDefault="00A1B2C3">
      <w:pPr>
        <w:spacing w:line="480" w:lineRule="auto"/>
        <w:ind w:firstLine="480"/>
        <w:jc w:val="both"/>
      </w:pPr>
      <w:r>
        <w:rPr>
          <w:rFonts w:ascii="Times New Roman" w:hAnsi="Times New Roman" w:eastAsia="宋体"/>
          <w:sz w:val="24"/>
          <w:szCs w:val="24"/>
        </w:rPr>
        <w:t xml:space="preserve">The PubMed, Science Direct, Embase, and Cochrane Library databases were searched from their inception to July 31, 2021, when the final search was run, to identify published studies comparing IC-CCRT or CCRT-CCT with CCRT alone in patients with unresectable EC. </w:t>
      </w:r>
      <w:commentRangeStart w:id="0"/>
      <w:r>
        <w:rPr>
          <w:rFonts w:ascii="Times New Roman" w:hAnsi="Times New Roman" w:eastAsia="宋体"/>
          <w:sz w:val="24"/>
          <w:szCs w:val="24"/>
        </w:rPr>
        <w:t xml:space="preserve">The search was developed around the population, intervention, and comparator of the review and combined five term sets with the Boolean operator AND: (“esophageal” OR “oesophageal”) AND (“carcinoma” OR “cancer” OR “neoplasm”) AND (“induction chemotherapy” OR “neoadjuvant chemotherapy”) AND (“consolidation” OR “adjuvant chemoradiotherapy”) AND (“concurrent” OR “definitive chemoradiotherapy”). Synonyms within each term set were combined with OR, and the strategy was adapted to the search syntax of each database; the string shown is the version executed in PubMed. </w:t>
      </w:r>
      <w:commentRangeEnd w:id="0"/>
      <w:r>
        <w:rPr>
          <w:rStyle w:val="CommentReference"/>
        </w:rPr>
        <w:commentReference w:id="0"/>
      </w:r>
      <w:commentRangeStart w:id="1"/>
      <w:r>
        <w:rPr>
          <w:rFonts w:ascii="Times New Roman" w:hAnsi="Times New Roman" w:eastAsia="宋体"/>
          <w:sz w:val="24"/>
          <w:szCs w:val="24"/>
        </w:rPr>
        <w:t xml:space="preserve">The search was limited to studies conducted in humans and to articles published in English. </w:t>
      </w:r>
      <w:commentRangeEnd w:id="1"/>
      <w:r>
        <w:rPr>
          <w:rStyle w:val="CommentReference"/>
        </w:rPr>
        <w:commentReference w:id="1"/>
      </w:r>
      <w:r>
        <w:rPr>
          <w:rFonts w:ascii="Times New Roman" w:hAnsi="Times New Roman" w:eastAsia="宋体"/>
          <w:sz w:val="24"/>
          <w:szCs w:val="24"/>
        </w:rPr>
        <w:t xml:space="preserve">In addition, the reference lists of the included studies and of relevant reviews were hand-searched for further eligible papers, and all retrieved records were pooled and duplicates removed before screening.</w:t>
      </w:r>
    </w:p>
    <w:p w14:paraId="1A2B3C10" w14:textId="77777777" w:rsidR="00A1B2C3" w:rsidRDefault="00A1B2C3">
      <w:pPr>
        <w:pStyle w:val="Heading3"/>
      </w:pPr>
      <w:r w:rsidRPr="00C4D5E6">
        <w:rPr>
          <w:rFonts w:ascii="Times New Roman" w:hAnsi="Times New Roman" w:eastAsia="宋体"/>
          <w:sz w:val="24"/>
          <w:szCs w:val="24"/>
        </w:rPr>
        <w:t xml:space="preserve">Inclusion Criteria and Exclusion Criteria</w:t>
      </w:r>
    </w:p>
    <w:p w14:paraId="1A2B3C11" w14:textId="77777777" w:rsidR="00A1B2C3" w:rsidRDefault="00A1B2C3">
      <w:pPr>
        <w:spacing w:line="480" w:lineRule="auto"/>
        <w:ind w:firstLine="480"/>
        <w:jc w:val="both"/>
      </w:pPr>
      <w:r w:rsidRPr="00C4D5E6">
        <w:rPr>
          <w:rFonts w:ascii="Times New Roman" w:hAnsi="Times New Roman" w:eastAsia="宋体"/>
          <w:sz w:val="24"/>
          <w:szCs w:val="24"/>
        </w:rPr>
        <w:t xml:space="preserve">The inclusion criteria included the following: (1) studies that involved patients who had unresectable EC; (2) studies comparing the effects of IC-CCRT or CCRT-CCT </w:t>
      </w:r>
      <w:r w:rsidRPr="00C4D5E6">
        <w:rPr>
          <w:i/>
          <w:rFonts w:ascii="Times New Roman" w:hAnsi="Times New Roman" w:eastAsia="宋体"/>
          <w:sz w:val="24"/>
          <w:szCs w:val="24"/>
        </w:rPr>
        <w:t xml:space="preserve">vs</w:t>
      </w:r>
      <w:r w:rsidRPr="00C4D5E6">
        <w:rPr>
          <w:rFonts w:ascii="Times New Roman" w:hAnsi="Times New Roman" w:eastAsia="宋体"/>
          <w:sz w:val="24"/>
          <w:szCs w:val="24"/>
        </w:rPr>
        <w:t xml:space="preserve">. CCRT alone; (3) the hazard ratio (HR), odds ratio (OR), and 95% confidence intervals (CIs) in these studies were reported or could be calculated; (4) randomized controlled trials (RCTs) and cohort studies.</w:t>
      </w:r>
    </w:p>
    <w:p w14:paraId="1A2B3C12" w14:textId="77777777" w:rsidR="00A1B2C3" w:rsidRDefault="00A1B2C3">
      <w:pPr>
        <w:spacing w:line="480" w:lineRule="auto"/>
        <w:ind w:firstLine="480"/>
        <w:jc w:val="both"/>
      </w:pPr>
      <w:r w:rsidRPr="00C4D5E6">
        <w:rPr>
          <w:rFonts w:ascii="Times New Roman" w:hAnsi="Times New Roman" w:eastAsia="宋体"/>
          <w:sz w:val="24"/>
          <w:szCs w:val="24"/>
        </w:rPr>
        <w:t xml:space="preserve">The exclusion criteria included the following: (1) studies that did not include survival data as endpoints; (2) studies whose patients underwent sequential treatments, neoadjuvant or adjuvant CRT combined with surgery, palliative CRT or radiotherapy alone; (3) studies only published as a letter or conference paper; (4) repeated reports on survival data of the same population; (5) studies that involved specific elderly population.</w:t>
      </w:r>
    </w:p>
    <w:p w14:paraId="1A2B3C13" w14:textId="77777777" w:rsidR="00A1B2C3" w:rsidRDefault="00A1B2C3">
      <w:pPr>
        <w:pStyle w:val="Heading3"/>
      </w:pPr>
      <w:r w:rsidRPr="00C4D5E6">
        <w:rPr>
          <w:rFonts w:ascii="Times New Roman" w:hAnsi="Times New Roman" w:eastAsia="宋体"/>
          <w:sz w:val="24"/>
          <w:szCs w:val="24"/>
        </w:rPr>
        <w:t xml:space="preserve">Quality Evaluation</w:t>
      </w:r>
    </w:p>
    <w:p w14:paraId="1A2B3C14" w14:textId="77777777" w:rsidR="00A1B2C3" w:rsidRDefault="00A1B2C3">
      <w:pPr>
        <w:spacing w:line="480" w:lineRule="auto"/>
        <w:ind w:firstLine="480"/>
        <w:jc w:val="both"/>
      </w:pPr>
      <w:r w:rsidRPr="00C4D5E6">
        <w:rPr>
          <w:rFonts w:ascii="Times New Roman" w:hAnsi="Times New Roman" w:eastAsia="宋体"/>
          <w:sz w:val="24"/>
          <w:szCs w:val="24"/>
        </w:rPr>
        <w:t xml:space="preserve">Case-control study evaluation guidelines were applied in order to evaluate the quality of each manuscript for the following criteria: 1) whether gender, age, and tumor location were clearly stated; 2) whether the comparability of the two groups was analyzed; 3) whether the statistical method was appropriate; 4) whether the test was designed as a prospective randomized control study; 5) whether biases were discussed in the study. A score was assigned for each of the five items, with a total score of ≥3 indicative of reliable quality. Two researchers independently reviewed the literature according to the unified quality standard, with results cross-checked. If there were some different opinions, a third researcher would be invited to solve the disagreement. The systematic review was conducted in accordance with the Preferred Reporting Items for Systematic Reviews and Meta-Analyses (PRISMA) guidelines ([11]).</w:t>
      </w:r>
    </w:p>
    <w:p w14:paraId="1A2B3C15" w14:textId="77777777" w:rsidR="00A1B2C3" w:rsidRDefault="00A1B2C3">
      <w:pPr>
        <w:pStyle w:val="Heading3"/>
      </w:pPr>
      <w:r w:rsidRPr="00C4D5E6">
        <w:rPr>
          <w:rFonts w:ascii="Times New Roman" w:hAnsi="Times New Roman" w:eastAsia="宋体"/>
          <w:sz w:val="24"/>
          <w:szCs w:val="24"/>
        </w:rPr>
        <w:t xml:space="preserve">Outcome Measures</w:t>
      </w:r>
    </w:p>
    <w:p w14:paraId="1A2B3C16" w14:textId="77777777" w:rsidR="00A1B2C3" w:rsidRDefault="00A1B2C3">
      <w:pPr>
        <w:spacing w:line="480" w:lineRule="auto"/>
        <w:ind w:firstLine="480"/>
        <w:jc w:val="both"/>
      </w:pPr>
      <w:r w:rsidRPr="00C4D5E6">
        <w:rPr>
          <w:rFonts w:ascii="Times New Roman" w:hAnsi="Times New Roman" w:eastAsia="宋体"/>
          <w:sz w:val="24"/>
          <w:szCs w:val="24"/>
        </w:rPr>
        <w:t xml:space="preserve">The outcome measures of this study were 1-, 2-, 3-, and 5-year OS rate, LRR, and distant metastasis rate (DMR) to examine the efficiency of various management strategies.</w:t>
      </w:r>
    </w:p>
    <w:p w14:paraId="1A2B3C17" w14:textId="77777777" w:rsidR="00A1B2C3" w:rsidRDefault="00A1B2C3">
      <w:pPr>
        <w:pStyle w:val="Heading3"/>
      </w:pPr>
      <w:r w:rsidRPr="00C4D5E6">
        <w:rPr>
          <w:rFonts w:ascii="Times New Roman" w:hAnsi="Times New Roman" w:eastAsia="宋体"/>
          <w:sz w:val="24"/>
          <w:szCs w:val="24"/>
        </w:rPr>
        <w:t xml:space="preserve">Statistical Analysis</w:t>
      </w:r>
    </w:p>
    <w:p w14:paraId="1A2B3C18" w14:textId="77777777" w:rsidR="00A1B2C3" w:rsidRDefault="00A1B2C3">
      <w:pPr>
        <w:spacing w:line="480" w:lineRule="auto"/>
        <w:ind w:firstLine="480"/>
        <w:jc w:val="both"/>
      </w:pPr>
      <w:r w:rsidRPr="00C4D5E6">
        <w:rPr>
          <w:rFonts w:ascii="Times New Roman" w:hAnsi="Times New Roman" w:eastAsia="宋体"/>
          <w:sz w:val="24"/>
          <w:szCs w:val="24"/>
        </w:rPr>
        <w:t xml:space="preserve">Data were analyzed using Stata version 12.0. HR, OR, and 95% CI were used to measure the effect. Heterogeneity was assessed using the Q test. Statistical significance was set at p &lt; 0.05. If there was a significant heterogeneity (p ≤ 0.05), the random-effects model was adopted; otherwise, a fixed-effects model was used (p &gt; 0.05). The combined effect size was tested by the z test. Funnel plots were created to evaluate the risk of publication bias.</w:t>
      </w:r>
    </w:p>
    <w:p w14:paraId="1A2B3C19" w14:textId="77777777" w:rsidR="00A1B2C3" w:rsidRDefault="00A1B2C3">
      <w:pPr>
        <w:pStyle w:val="Heading2"/>
      </w:pPr>
      <w:r w:rsidRPr="00C4D5E6">
        <w:rPr>
          <w:rFonts w:ascii="Times New Roman" w:hAnsi="Times New Roman" w:eastAsia="宋体"/>
          <w:sz w:val="24"/>
          <w:szCs w:val="24"/>
        </w:rPr>
        <w:t xml:space="preserve">Results</w:t>
      </w:r>
    </w:p>
    <w:p w14:paraId="1A2B3C1A" w14:textId="77777777" w:rsidR="00A1B2C3" w:rsidRDefault="00A1B2C3">
      <w:pPr>
        <w:pStyle w:val="Heading3"/>
      </w:pPr>
      <w:r w:rsidRPr="00C4D5E6">
        <w:rPr>
          <w:rFonts w:ascii="Times New Roman" w:hAnsi="Times New Roman" w:eastAsia="宋体"/>
          <w:sz w:val="24"/>
          <w:szCs w:val="24"/>
        </w:rPr>
        <w:t xml:space="preserve">Literature Search and Study Selection</w:t>
      </w:r>
    </w:p>
    <w:p w14:paraId="1A2B3C1B" w14:textId="77777777" w:rsidR="00A1B2C3" w:rsidRDefault="00A1B2C3">
      <w:pPr>
        <w:spacing w:line="480" w:lineRule="auto"/>
        <w:ind w:firstLine="480"/>
        <w:jc w:val="both"/>
      </w:pPr>
      <w:r w:rsidRPr="00C4D5E6">
        <w:rPr>
          <w:rFonts w:ascii="Times New Roman" w:hAnsi="Times New Roman" w:eastAsia="宋体"/>
          <w:sz w:val="24"/>
          <w:szCs w:val="24"/>
        </w:rPr>
        <w:t xml:space="preserve">After excluding 2,340 articles from a total of 2,350 citations, finally, 10 articles were subjected to our meta-analysis. A detailed study flow diagram is shown in </w:t>
      </w:r>
      <w:r w:rsidRPr="00C4D5E6">
        <w:rPr>
          <w:b/>
          <w:rFonts w:ascii="Times New Roman" w:hAnsi="Times New Roman" w:eastAsia="宋体"/>
          <w:sz w:val="24"/>
          <w:szCs w:val="24"/>
        </w:rPr>
        <w:t xml:space="preserve">Figure 1</w:t>
      </w:r>
      <w:r w:rsidRPr="00C4D5E6">
        <w:rPr>
          <w:rFonts w:ascii="Times New Roman" w:hAnsi="Times New Roman" w:eastAsia="宋体"/>
          <w:sz w:val="24"/>
          <w:szCs w:val="24"/>
        </w:rPr>
        <w:t xml:space="preserve">. Among the 10 articles, there were four studies including three retrospective studies and one prospective study that compared IC-CCRT with CCRT and six other retrospective studies that compared CCRT-CCT with CCRT ([6], [12]–[20]) (</w:t>
      </w:r>
      <w:r w:rsidRPr="00C4D5E6">
        <w:rPr>
          <w:b/>
          <w:rFonts w:ascii="Times New Roman" w:hAnsi="Times New Roman" w:eastAsia="宋体"/>
          <w:sz w:val="24"/>
          <w:szCs w:val="24"/>
        </w:rPr>
        <w:t xml:space="preserve">Tables 1</w:t>
      </w:r>
      <w:r w:rsidRPr="00C4D5E6">
        <w:rPr>
          <w:rFonts w:ascii="Times New Roman" w:hAnsi="Times New Roman" w:eastAsia="宋体"/>
          <w:sz w:val="24"/>
          <w:szCs w:val="24"/>
        </w:rPr>
        <w:t xml:space="preserve">, </w:t>
      </w:r>
      <w:r w:rsidRPr="00C4D5E6">
        <w:rPr>
          <w:b/>
          <w:rFonts w:ascii="Times New Roman" w:hAnsi="Times New Roman" w:eastAsia="宋体"/>
          <w:sz w:val="24"/>
          <w:szCs w:val="24"/>
        </w:rPr>
        <w:t xml:space="preserve">2</w:t>
      </w:r>
      <w:r w:rsidRPr="00C4D5E6">
        <w:rPr>
          <w:rFonts w:ascii="Times New Roman" w:hAnsi="Times New Roman" w:eastAsia="宋体"/>
          <w:sz w:val="24"/>
          <w:szCs w:val="24"/>
        </w:rPr>
        <w:t xml:space="preserve">). The number of patients within these four studies on IC-CCRT </w:t>
      </w:r>
      <w:r w:rsidRPr="00C4D5E6">
        <w:rPr>
          <w:i/>
          <w:rFonts w:ascii="Times New Roman" w:hAnsi="Times New Roman" w:eastAsia="宋体"/>
          <w:sz w:val="24"/>
          <w:szCs w:val="24"/>
        </w:rPr>
        <w:t xml:space="preserve">vs</w:t>
      </w:r>
      <w:r w:rsidRPr="00C4D5E6">
        <w:rPr>
          <w:rFonts w:ascii="Times New Roman" w:hAnsi="Times New Roman" w:eastAsia="宋体"/>
          <w:sz w:val="24"/>
          <w:szCs w:val="24"/>
        </w:rPr>
        <w:t xml:space="preserve">. CCRT was 836, including 486 esophageal squamous cell carcinoma (ESCC) patients and 350 esophageal adenocarcinoma (EAC) patients. A total of 1,339 patients were included in the six other studies on CCRT-CCT </w:t>
      </w:r>
      <w:r w:rsidRPr="00C4D5E6">
        <w:rPr>
          <w:i/>
          <w:rFonts w:ascii="Times New Roman" w:hAnsi="Times New Roman" w:eastAsia="宋体"/>
          <w:sz w:val="24"/>
          <w:szCs w:val="24"/>
        </w:rPr>
        <w:t xml:space="preserve">vs</w:t>
      </w:r>
      <w:r w:rsidRPr="00C4D5E6">
        <w:rPr>
          <w:rFonts w:ascii="Times New Roman" w:hAnsi="Times New Roman" w:eastAsia="宋体"/>
          <w:sz w:val="24"/>
          <w:szCs w:val="24"/>
        </w:rPr>
        <w:t xml:space="preserve">. CCRT whose pathological types were all ESCC.</w:t>
      </w:r>
    </w:p>
    <w:p w14:paraId="1A2B3C1C" w14:textId="77777777" w:rsidR="00A1B2C3" w:rsidRDefault="00A1B2C3">
      <w:pPr>
        <w:spacing w:line="480" w:lineRule="auto"/>
        <w:ind w:firstLine="480"/>
        <w:jc w:val="both"/>
      </w:pPr>
      <w:r w:rsidRPr="00C4D5E6">
        <w:rPr>
          <w:b/>
          <w:rFonts w:ascii="Times New Roman" w:hAnsi="Times New Roman" w:eastAsia="宋体"/>
          <w:sz w:val="24"/>
          <w:szCs w:val="24"/>
        </w:rPr>
        <w:t xml:space="preserve">Figure 1.</w:t>
      </w:r>
      <w:r w:rsidRPr="00C4D5E6">
        <w:rPr>
          <w:rFonts w:ascii="Times New Roman" w:hAnsi="Times New Roman" w:eastAsia="宋体"/>
          <w:sz w:val="24"/>
          <w:szCs w:val="24"/>
        </w:rPr>
        <w:t xml:space="preserve"> Study selection process.</w:t>
      </w:r>
    </w:p>
    <w:p w14:paraId="1A2B3C1D" w14:textId="77777777" w:rsidR="00A1B2C3" w:rsidRDefault="00A1B2C3">
      <w:pPr>
        <w:spacing w:line="480" w:lineRule="auto"/>
        <w:ind w:firstLine="480"/>
        <w:jc w:val="both"/>
      </w:pPr>
      <w:r w:rsidRPr="00C4D5E6">
        <w:rPr>
          <w:b/>
          <w:rFonts w:ascii="Times New Roman" w:hAnsi="Times New Roman" w:eastAsia="宋体"/>
          <w:sz w:val="24"/>
          <w:szCs w:val="24"/>
        </w:rPr>
        <w:t xml:space="preserve">Table 1.</w:t>
      </w:r>
      <w:r w:rsidRPr="00C4D5E6">
        <w:rPr>
          <w:rFonts w:ascii="Times New Roman" w:hAnsi="Times New Roman" w:eastAsia="宋体"/>
          <w:sz w:val="24"/>
          <w:szCs w:val="24"/>
        </w:rPr>
        <w:t xml:space="preserve"> Basic characteristics of the included studies (IC-CCRT vs. CCRT alone group).</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900"/>
        <w:gridCol w:w="900"/>
        <w:gridCol w:w="900"/>
        <w:gridCol w:w="900"/>
        <w:gridCol w:w="900"/>
        <w:gridCol w:w="900"/>
        <w:gridCol w:w="900"/>
        <w:gridCol w:w="900"/>
        <w:gridCol w:w="900"/>
        <w:gridCol w:w="900"/>
      </w:tblGrid>
      <w:tr>
        <w:trPr>
          <w:tblHeader/>
        </w:trPr>
        <w:tc>
          <w:tcPr>
            <w:tcW w:w="900" w:type="dxa"/>
          </w:tcPr>
          <w:p w14:paraId="1A2B3C1E" w14:textId="77777777" w:rsidR="00A1B2C3" w:rsidRDefault="00A1B2C3">
            <w:r w:rsidRPr="00C4D5E6">
              <w:rPr>
                <w:rFonts w:ascii="Times New Roman" w:hAnsi="Times New Roman" w:eastAsia="宋体"/>
                <w:sz w:val="24"/>
                <w:szCs w:val="24"/>
              </w:rPr>
              <w:t xml:space="preserve">Author</w:t>
            </w:r>
          </w:p>
        </w:tc>
        <w:tc>
          <w:tcPr>
            <w:tcW w:w="900" w:type="dxa"/>
          </w:tcPr>
          <w:p w14:paraId="1A2B3C1F" w14:textId="77777777" w:rsidR="00A1B2C3" w:rsidRDefault="00A1B2C3">
            <w:r w:rsidRPr="00C4D5E6">
              <w:rPr>
                <w:rFonts w:ascii="Times New Roman" w:hAnsi="Times New Roman" w:eastAsia="宋体"/>
                <w:sz w:val="24"/>
                <w:szCs w:val="24"/>
              </w:rPr>
              <w:t xml:space="preserve">Year</w:t>
            </w:r>
          </w:p>
        </w:tc>
        <w:tc>
          <w:tcPr>
            <w:tcW w:w="900" w:type="dxa"/>
          </w:tcPr>
          <w:p w14:paraId="1A2B3C20" w14:textId="77777777" w:rsidR="00A1B2C3" w:rsidRDefault="00A1B2C3">
            <w:r w:rsidRPr="00C4D5E6">
              <w:rPr>
                <w:rFonts w:ascii="Times New Roman" w:hAnsi="Times New Roman" w:eastAsia="宋体"/>
                <w:sz w:val="24"/>
                <w:szCs w:val="24"/>
              </w:rPr>
              <w:t xml:space="preserve">Stage</w:t>
            </w:r>
          </w:p>
        </w:tc>
        <w:tc>
          <w:tcPr>
            <w:tcW w:w="900" w:type="dxa"/>
          </w:tcPr>
          <w:p w14:paraId="1A2B3C21" w14:textId="77777777" w:rsidR="00A1B2C3" w:rsidRDefault="00A1B2C3">
            <w:r w:rsidRPr="00C4D5E6">
              <w:rPr>
                <w:rFonts w:ascii="Times New Roman" w:hAnsi="Times New Roman" w:eastAsia="宋体"/>
                <w:sz w:val="24"/>
                <w:szCs w:val="24"/>
              </w:rPr>
              <w:t xml:space="preserve">ESCC /EAC</w:t>
            </w:r>
          </w:p>
        </w:tc>
        <w:tc>
          <w:tcPr>
            <w:tcW w:w="900" w:type="dxa"/>
          </w:tcPr>
          <w:p w14:paraId="1A2B3C22" w14:textId="77777777" w:rsidR="00A1B2C3" w:rsidRDefault="00A1B2C3">
            <w:r w:rsidRPr="00C4D5E6">
              <w:rPr>
                <w:rFonts w:ascii="Times New Roman" w:hAnsi="Times New Roman" w:eastAsia="宋体"/>
                <w:sz w:val="24"/>
                <w:szCs w:val="24"/>
              </w:rPr>
              <w:t xml:space="preserve">IC-CCRT/ CCRT alone</w:t>
            </w:r>
          </w:p>
        </w:tc>
        <w:tc>
          <w:tcPr>
            <w:tcW w:w="900" w:type="dxa"/>
          </w:tcPr>
          <w:p w14:paraId="1A2B3C23" w14:textId="77777777" w:rsidR="00A1B2C3" w:rsidRDefault="00A1B2C3">
            <w:r w:rsidRPr="00C4D5E6">
              <w:rPr>
                <w:rFonts w:ascii="Times New Roman" w:hAnsi="Times New Roman" w:eastAsia="宋体"/>
                <w:sz w:val="24"/>
                <w:szCs w:val="24"/>
              </w:rPr>
              <w:t xml:space="preserve">Radiation dose (Gy)</w:t>
            </w:r>
          </w:p>
        </w:tc>
        <w:tc>
          <w:tcPr>
            <w:tcW w:w="900" w:type="dxa"/>
          </w:tcPr>
          <w:p w14:paraId="1A2B3C24" w14:textId="77777777" w:rsidR="00A1B2C3" w:rsidRDefault="00A1B2C3">
            <w:r w:rsidRPr="00C4D5E6">
              <w:rPr>
                <w:rFonts w:ascii="Times New Roman" w:hAnsi="Times New Roman" w:eastAsia="宋体"/>
                <w:sz w:val="24"/>
                <w:szCs w:val="24"/>
              </w:rPr>
              <w:t xml:space="preserve">Current chemotherapy regimen</w:t>
            </w:r>
          </w:p>
        </w:tc>
        <w:tc>
          <w:tcPr>
            <w:tcW w:w="900" w:type="dxa"/>
          </w:tcPr>
          <w:p w14:paraId="1A2B3C25" w14:textId="77777777" w:rsidR="00A1B2C3" w:rsidRDefault="00A1B2C3">
            <w:r w:rsidRPr="00C4D5E6">
              <w:rPr>
                <w:rFonts w:ascii="Times New Roman" w:hAnsi="Times New Roman" w:eastAsia="宋体"/>
                <w:sz w:val="24"/>
                <w:szCs w:val="24"/>
              </w:rPr>
              <w:t xml:space="preserve">Induction chemotherapy</w:t>
            </w:r>
          </w:p>
        </w:tc>
        <w:tc>
          <w:tcPr>
            <w:tcW w:w="900" w:type="dxa"/>
          </w:tcPr>
          <w:p w14:paraId="1A2B3C26" w14:textId="77777777" w:rsidR="00A1B2C3" w:rsidRDefault="00A1B2C3">
            <w:r w:rsidRPr="00C4D5E6">
              <w:rPr>
                <w:rFonts w:ascii="Times New Roman" w:hAnsi="Times New Roman" w:eastAsia="宋体"/>
                <w:sz w:val="24"/>
                <w:szCs w:val="24"/>
              </w:rPr>
              <w:t xml:space="preserve">The cycles of IC</w:t>
            </w:r>
          </w:p>
        </w:tc>
        <w:tc>
          <w:tcPr>
            <w:tcW w:w="900" w:type="dxa"/>
          </w:tcPr>
          <w:p w14:paraId="1A2B3C27" w14:textId="77777777" w:rsidR="00A1B2C3" w:rsidRDefault="00A1B2C3">
            <w:r w:rsidRPr="00C4D5E6">
              <w:rPr>
                <w:rFonts w:ascii="Times New Roman" w:hAnsi="Times New Roman" w:eastAsia="宋体"/>
                <w:sz w:val="24"/>
                <w:szCs w:val="24"/>
              </w:rPr>
              <w:t xml:space="preserve">Quality evaluation</w:t>
            </w:r>
          </w:p>
        </w:tc>
      </w:tr>
      <w:tr>
        <w:tc>
          <w:tcPr>
            <w:tcW w:w="900" w:type="dxa"/>
          </w:tcPr>
          <w:p w14:paraId="1A2B3C28" w14:textId="77777777" w:rsidR="00A1B2C3" w:rsidRDefault="00A1B2C3">
            <w:r w:rsidRPr="00C4D5E6">
              <w:rPr>
                <w:rFonts w:ascii="Times New Roman" w:hAnsi="Times New Roman" w:eastAsia="宋体"/>
                <w:sz w:val="24"/>
                <w:szCs w:val="24"/>
              </w:rPr>
              <w:t xml:space="preserve">Chen et al. ([6])</w:t>
            </w:r>
          </w:p>
        </w:tc>
        <w:tc>
          <w:tcPr>
            <w:tcW w:w="900" w:type="dxa"/>
          </w:tcPr>
          <w:p w14:paraId="1A2B3C29" w14:textId="77777777" w:rsidR="00A1B2C3" w:rsidRDefault="00A1B2C3">
            <w:r w:rsidRPr="00C4D5E6">
              <w:rPr>
                <w:rFonts w:ascii="Times New Roman" w:hAnsi="Times New Roman" w:eastAsia="宋体"/>
                <w:sz w:val="24"/>
                <w:szCs w:val="24"/>
              </w:rPr>
              <w:t xml:space="preserve">2017</w:t>
            </w:r>
          </w:p>
        </w:tc>
        <w:tc>
          <w:tcPr>
            <w:tcW w:w="900" w:type="dxa"/>
          </w:tcPr>
          <w:p w14:paraId="1A2B3C2A" w14:textId="77777777" w:rsidR="00A1B2C3" w:rsidRDefault="00A1B2C3">
            <w:r w:rsidRPr="00C4D5E6">
              <w:rPr>
                <w:rFonts w:ascii="Times New Roman" w:hAnsi="Times New Roman" w:eastAsia="宋体"/>
                <w:sz w:val="24"/>
                <w:szCs w:val="24"/>
              </w:rPr>
              <w:t xml:space="preserve">II–IV</w:t>
            </w:r>
          </w:p>
        </w:tc>
        <w:tc>
          <w:tcPr>
            <w:tcW w:w="900" w:type="dxa"/>
          </w:tcPr>
          <w:p w14:paraId="1A2B3C2B" w14:textId="77777777" w:rsidR="00A1B2C3" w:rsidRDefault="00A1B2C3">
            <w:r w:rsidRPr="00C4D5E6">
              <w:rPr>
                <w:rFonts w:ascii="Times New Roman" w:hAnsi="Times New Roman" w:eastAsia="宋体"/>
                <w:sz w:val="24"/>
                <w:szCs w:val="24"/>
              </w:rPr>
              <w:t xml:space="preserve">60/0</w:t>
            </w:r>
          </w:p>
        </w:tc>
        <w:tc>
          <w:tcPr>
            <w:tcW w:w="900" w:type="dxa"/>
          </w:tcPr>
          <w:p w14:paraId="1A2B3C2C" w14:textId="77777777" w:rsidR="00A1B2C3" w:rsidRDefault="00A1B2C3">
            <w:r w:rsidRPr="00C4D5E6">
              <w:rPr>
                <w:rFonts w:ascii="Times New Roman" w:hAnsi="Times New Roman" w:eastAsia="宋体"/>
                <w:sz w:val="24"/>
                <w:szCs w:val="24"/>
              </w:rPr>
              <w:t xml:space="preserve">41/19</w:t>
            </w:r>
          </w:p>
        </w:tc>
        <w:tc>
          <w:tcPr>
            <w:tcW w:w="900" w:type="dxa"/>
          </w:tcPr>
          <w:p w14:paraId="1A2B3C2D" w14:textId="77777777" w:rsidR="00A1B2C3" w:rsidRDefault="00A1B2C3">
            <w:r w:rsidRPr="00C4D5E6">
              <w:rPr>
                <w:rFonts w:ascii="Times New Roman" w:hAnsi="Times New Roman" w:eastAsia="宋体"/>
                <w:sz w:val="24"/>
                <w:szCs w:val="24"/>
              </w:rPr>
              <w:t xml:space="preserve">50.4–66</w:t>
            </w:r>
          </w:p>
        </w:tc>
        <w:tc>
          <w:tcPr>
            <w:tcW w:w="900" w:type="dxa"/>
          </w:tcPr>
          <w:p w14:paraId="1A2B3C2E" w14:textId="77777777" w:rsidR="00A1B2C3" w:rsidRDefault="00A1B2C3">
            <w:r w:rsidRPr="00C4D5E6">
              <w:rPr>
                <w:rFonts w:ascii="Times New Roman" w:hAnsi="Times New Roman" w:eastAsia="宋体"/>
                <w:sz w:val="24"/>
                <w:szCs w:val="24"/>
              </w:rPr>
              <w:t xml:space="preserve">PF/TP/P/C/F</w:t>
            </w:r>
          </w:p>
        </w:tc>
        <w:tc>
          <w:tcPr>
            <w:tcW w:w="900" w:type="dxa"/>
          </w:tcPr>
          <w:p w14:paraId="1A2B3C2F" w14:textId="77777777" w:rsidR="00A1B2C3" w:rsidRDefault="00A1B2C3">
            <w:r w:rsidRPr="00C4D5E6">
              <w:rPr>
                <w:rFonts w:ascii="Times New Roman" w:hAnsi="Times New Roman" w:eastAsia="宋体"/>
                <w:sz w:val="24"/>
                <w:szCs w:val="24"/>
              </w:rPr>
              <w:t xml:space="preserve">PF/TP/C</w:t>
            </w:r>
          </w:p>
        </w:tc>
        <w:tc>
          <w:tcPr>
            <w:tcW w:w="900" w:type="dxa"/>
          </w:tcPr>
          <w:p w14:paraId="1A2B3C30" w14:textId="77777777" w:rsidR="00A1B2C3" w:rsidRDefault="00A1B2C3">
            <w:r w:rsidRPr="00C4D5E6">
              <w:rPr>
                <w:rFonts w:ascii="Times New Roman" w:hAnsi="Times New Roman" w:eastAsia="宋体"/>
                <w:sz w:val="24"/>
                <w:szCs w:val="24"/>
              </w:rPr>
              <w:t xml:space="preserve">1–3</w:t>
            </w:r>
          </w:p>
        </w:tc>
        <w:tc>
          <w:tcPr>
            <w:tcW w:w="900" w:type="dxa"/>
          </w:tcPr>
          <w:p w14:paraId="1A2B3C31" w14:textId="77777777" w:rsidR="00A1B2C3" w:rsidRDefault="00A1B2C3">
            <w:r w:rsidRPr="00C4D5E6">
              <w:rPr>
                <w:rFonts w:ascii="Times New Roman" w:hAnsi="Times New Roman" w:eastAsia="宋体"/>
                <w:sz w:val="24"/>
                <w:szCs w:val="24"/>
              </w:rPr>
              <w:t xml:space="preserve">4</w:t>
            </w:r>
          </w:p>
        </w:tc>
      </w:tr>
      <w:tr>
        <w:tc>
          <w:tcPr>
            <w:tcW w:w="900" w:type="dxa"/>
          </w:tcPr>
          <w:p w14:paraId="1A2B3C32" w14:textId="77777777" w:rsidR="00A1B2C3" w:rsidRDefault="00A1B2C3">
            <w:r w:rsidRPr="00C4D5E6">
              <w:rPr>
                <w:rFonts w:ascii="Times New Roman" w:hAnsi="Times New Roman" w:eastAsia="宋体"/>
                <w:sz w:val="24"/>
                <w:szCs w:val="24"/>
              </w:rPr>
              <w:t xml:space="preserve">Luo et al. ([12])</w:t>
            </w:r>
          </w:p>
        </w:tc>
        <w:tc>
          <w:tcPr>
            <w:tcW w:w="900" w:type="dxa"/>
          </w:tcPr>
          <w:p w14:paraId="1A2B3C33" w14:textId="77777777" w:rsidR="00A1B2C3" w:rsidRDefault="00A1B2C3">
            <w:r w:rsidRPr="00C4D5E6">
              <w:rPr>
                <w:rFonts w:ascii="Times New Roman" w:hAnsi="Times New Roman" w:eastAsia="宋体"/>
                <w:sz w:val="24"/>
                <w:szCs w:val="24"/>
              </w:rPr>
              <w:t xml:space="preserve">2017</w:t>
            </w:r>
          </w:p>
        </w:tc>
        <w:tc>
          <w:tcPr>
            <w:tcW w:w="900" w:type="dxa"/>
          </w:tcPr>
          <w:p w14:paraId="1A2B3C34" w14:textId="77777777" w:rsidR="00A1B2C3" w:rsidRDefault="00A1B2C3">
            <w:r w:rsidRPr="00C4D5E6">
              <w:rPr>
                <w:rFonts w:ascii="Times New Roman" w:hAnsi="Times New Roman" w:eastAsia="宋体"/>
                <w:sz w:val="24"/>
                <w:szCs w:val="24"/>
              </w:rPr>
              <w:t xml:space="preserve">III–IV</w:t>
            </w:r>
          </w:p>
        </w:tc>
        <w:tc>
          <w:tcPr>
            <w:tcW w:w="900" w:type="dxa"/>
          </w:tcPr>
          <w:p w14:paraId="1A2B3C35" w14:textId="77777777" w:rsidR="00A1B2C3" w:rsidRDefault="00A1B2C3">
            <w:r w:rsidRPr="00C4D5E6">
              <w:rPr>
                <w:rFonts w:ascii="Times New Roman" w:hAnsi="Times New Roman" w:eastAsia="宋体"/>
                <w:sz w:val="24"/>
                <w:szCs w:val="24"/>
              </w:rPr>
              <w:t xml:space="preserve">170/0</w:t>
            </w:r>
          </w:p>
        </w:tc>
        <w:tc>
          <w:tcPr>
            <w:tcW w:w="900" w:type="dxa"/>
          </w:tcPr>
          <w:p w14:paraId="1A2B3C36" w14:textId="77777777" w:rsidR="00A1B2C3" w:rsidRDefault="00A1B2C3">
            <w:r w:rsidRPr="00C4D5E6">
              <w:rPr>
                <w:rFonts w:ascii="Times New Roman" w:hAnsi="Times New Roman" w:eastAsia="宋体"/>
                <w:sz w:val="24"/>
                <w:szCs w:val="24"/>
              </w:rPr>
              <w:t xml:space="preserve">85/85</w:t>
            </w:r>
          </w:p>
        </w:tc>
        <w:tc>
          <w:tcPr>
            <w:tcW w:w="900" w:type="dxa"/>
          </w:tcPr>
          <w:p w14:paraId="1A2B3C37" w14:textId="77777777" w:rsidR="00A1B2C3" w:rsidRDefault="00A1B2C3">
            <w:r w:rsidRPr="00C4D5E6">
              <w:rPr>
                <w:rFonts w:ascii="Times New Roman" w:hAnsi="Times New Roman" w:eastAsia="宋体"/>
                <w:sz w:val="24"/>
                <w:szCs w:val="24"/>
              </w:rPr>
              <w:t xml:space="preserve">60 (50–70)</w:t>
            </w:r>
          </w:p>
        </w:tc>
        <w:tc>
          <w:tcPr>
            <w:tcW w:w="900" w:type="dxa"/>
          </w:tcPr>
          <w:p w14:paraId="1A2B3C38" w14:textId="77777777" w:rsidR="00A1B2C3" w:rsidRDefault="00A1B2C3">
            <w:r w:rsidRPr="00C4D5E6">
              <w:rPr>
                <w:rFonts w:ascii="Times New Roman" w:hAnsi="Times New Roman" w:eastAsia="宋体"/>
                <w:sz w:val="24"/>
                <w:szCs w:val="24"/>
              </w:rPr>
              <w:t xml:space="preserve">DP</w:t>
            </w:r>
          </w:p>
        </w:tc>
        <w:tc>
          <w:tcPr>
            <w:tcW w:w="900" w:type="dxa"/>
          </w:tcPr>
          <w:p w14:paraId="1A2B3C39" w14:textId="77777777" w:rsidR="00A1B2C3" w:rsidRDefault="00A1B2C3">
            <w:r w:rsidRPr="00C4D5E6">
              <w:rPr>
                <w:rFonts w:ascii="Times New Roman" w:hAnsi="Times New Roman" w:eastAsia="宋体"/>
                <w:sz w:val="24"/>
                <w:szCs w:val="24"/>
              </w:rPr>
              <w:t xml:space="preserve">DP</w:t>
            </w:r>
          </w:p>
        </w:tc>
        <w:tc>
          <w:tcPr>
            <w:tcW w:w="900" w:type="dxa"/>
          </w:tcPr>
          <w:p w14:paraId="1A2B3C3A" w14:textId="77777777" w:rsidR="00A1B2C3" w:rsidRDefault="00A1B2C3">
            <w:r w:rsidRPr="00C4D5E6">
              <w:rPr>
                <w:rFonts w:ascii="Times New Roman" w:hAnsi="Times New Roman" w:eastAsia="宋体"/>
                <w:sz w:val="24"/>
                <w:szCs w:val="24"/>
              </w:rPr>
              <w:t xml:space="preserve">2</w:t>
            </w:r>
          </w:p>
        </w:tc>
        <w:tc>
          <w:tcPr>
            <w:tcW w:w="900" w:type="dxa"/>
          </w:tcPr>
          <w:p w14:paraId="1A2B3C3B" w14:textId="77777777" w:rsidR="00A1B2C3" w:rsidRDefault="00A1B2C3">
            <w:r w:rsidRPr="00C4D5E6">
              <w:rPr>
                <w:rFonts w:ascii="Times New Roman" w:hAnsi="Times New Roman" w:eastAsia="宋体"/>
                <w:sz w:val="24"/>
                <w:szCs w:val="24"/>
              </w:rPr>
              <w:t xml:space="preserve">4</w:t>
            </w:r>
          </w:p>
        </w:tc>
      </w:tr>
      <w:tr>
        <w:tc>
          <w:tcPr>
            <w:tcW w:w="900" w:type="dxa"/>
          </w:tcPr>
          <w:p w14:paraId="1A2B3C3C" w14:textId="77777777" w:rsidR="00A1B2C3" w:rsidRDefault="00A1B2C3">
            <w:r w:rsidRPr="00C4D5E6">
              <w:rPr>
                <w:rFonts w:ascii="Times New Roman" w:hAnsi="Times New Roman" w:eastAsia="宋体"/>
                <w:sz w:val="24"/>
                <w:szCs w:val="24"/>
              </w:rPr>
              <w:t xml:space="preserve">Xi et al. ([13])</w:t>
            </w:r>
          </w:p>
        </w:tc>
        <w:tc>
          <w:tcPr>
            <w:tcW w:w="900" w:type="dxa"/>
          </w:tcPr>
          <w:p w14:paraId="1A2B3C3D" w14:textId="77777777" w:rsidR="00A1B2C3" w:rsidRDefault="00A1B2C3">
            <w:r w:rsidRPr="00C4D5E6">
              <w:rPr>
                <w:rFonts w:ascii="Times New Roman" w:hAnsi="Times New Roman" w:eastAsia="宋体"/>
                <w:sz w:val="24"/>
                <w:szCs w:val="24"/>
              </w:rPr>
              <w:t xml:space="preserve">2017</w:t>
            </w:r>
          </w:p>
        </w:tc>
        <w:tc>
          <w:tcPr>
            <w:tcW w:w="900" w:type="dxa"/>
          </w:tcPr>
          <w:p w14:paraId="1A2B3C3E" w14:textId="77777777" w:rsidR="00A1B2C3" w:rsidRDefault="00A1B2C3">
            <w:r w:rsidRPr="00C4D5E6">
              <w:rPr>
                <w:rFonts w:ascii="Times New Roman" w:hAnsi="Times New Roman" w:eastAsia="宋体"/>
                <w:sz w:val="24"/>
                <w:szCs w:val="24"/>
              </w:rPr>
              <w:t xml:space="preserve">IB–III</w:t>
            </w:r>
          </w:p>
        </w:tc>
        <w:tc>
          <w:tcPr>
            <w:tcW w:w="900" w:type="dxa"/>
          </w:tcPr>
          <w:p w14:paraId="1A2B3C3F" w14:textId="77777777" w:rsidR="00A1B2C3" w:rsidRDefault="00A1B2C3">
            <w:r w:rsidRPr="00C4D5E6">
              <w:rPr>
                <w:rFonts w:ascii="Times New Roman" w:hAnsi="Times New Roman" w:eastAsia="宋体"/>
                <w:sz w:val="24"/>
                <w:szCs w:val="24"/>
              </w:rPr>
              <w:t xml:space="preserve">146/350</w:t>
            </w:r>
          </w:p>
        </w:tc>
        <w:tc>
          <w:tcPr>
            <w:tcW w:w="900" w:type="dxa"/>
          </w:tcPr>
          <w:p w14:paraId="1A2B3C40" w14:textId="77777777" w:rsidR="00A1B2C3" w:rsidRDefault="00A1B2C3">
            <w:r w:rsidRPr="00C4D5E6">
              <w:rPr>
                <w:rFonts w:ascii="Times New Roman" w:hAnsi="Times New Roman" w:eastAsia="宋体"/>
                <w:sz w:val="24"/>
                <w:szCs w:val="24"/>
              </w:rPr>
              <w:t xml:space="preserve">162/334</w:t>
            </w:r>
          </w:p>
        </w:tc>
        <w:tc>
          <w:tcPr>
            <w:tcW w:w="900" w:type="dxa"/>
          </w:tcPr>
          <w:p w14:paraId="1A2B3C41" w14:textId="77777777" w:rsidR="00A1B2C3" w:rsidRDefault="00A1B2C3">
            <w:r w:rsidRPr="00C4D5E6">
              <w:rPr>
                <w:rFonts w:ascii="Times New Roman" w:hAnsi="Times New Roman" w:eastAsia="宋体"/>
                <w:sz w:val="24"/>
                <w:szCs w:val="24"/>
              </w:rPr>
              <w:t xml:space="preserve">50.4 (41.4–66)</w:t>
            </w:r>
          </w:p>
        </w:tc>
        <w:tc>
          <w:tcPr>
            <w:tcW w:w="900" w:type="dxa"/>
          </w:tcPr>
          <w:p w14:paraId="1A2B3C42" w14:textId="77777777" w:rsidR="00A1B2C3" w:rsidRDefault="00A1B2C3">
            <w:r w:rsidRPr="00C4D5E6">
              <w:rPr>
                <w:rFonts w:ascii="Times New Roman" w:hAnsi="Times New Roman" w:eastAsia="宋体"/>
                <w:sz w:val="24"/>
                <w:szCs w:val="24"/>
              </w:rPr>
              <w:t xml:space="preserve">PTF/PF/TP/TF</w:t>
            </w:r>
          </w:p>
        </w:tc>
        <w:tc>
          <w:tcPr>
            <w:tcW w:w="900" w:type="dxa"/>
          </w:tcPr>
          <w:p w14:paraId="1A2B3C43" w14:textId="77777777" w:rsidR="00A1B2C3" w:rsidRDefault="00A1B2C3">
            <w:r w:rsidRPr="00C4D5E6">
              <w:rPr>
                <w:rFonts w:ascii="Times New Roman" w:hAnsi="Times New Roman" w:eastAsia="宋体"/>
                <w:sz w:val="24"/>
                <w:szCs w:val="24"/>
              </w:rPr>
              <w:t xml:space="preserve">PTF/PF/TP/TF</w:t>
            </w:r>
          </w:p>
        </w:tc>
        <w:tc>
          <w:tcPr>
            <w:tcW w:w="900" w:type="dxa"/>
          </w:tcPr>
          <w:p w14:paraId="1A2B3C44" w14:textId="77777777" w:rsidR="00A1B2C3" w:rsidRDefault="00A1B2C3">
            <w:r w:rsidRPr="00C4D5E6">
              <w:rPr>
                <w:rFonts w:ascii="Times New Roman" w:hAnsi="Times New Roman" w:eastAsia="宋体"/>
                <w:sz w:val="24"/>
                <w:szCs w:val="24"/>
              </w:rPr>
              <w:t xml:space="preserve">2–4</w:t>
            </w:r>
          </w:p>
        </w:tc>
        <w:tc>
          <w:tcPr>
            <w:tcW w:w="900" w:type="dxa"/>
          </w:tcPr>
          <w:p w14:paraId="1A2B3C45" w14:textId="77777777" w:rsidR="00A1B2C3" w:rsidRDefault="00A1B2C3">
            <w:r w:rsidRPr="00C4D5E6">
              <w:rPr>
                <w:rFonts w:ascii="Times New Roman" w:hAnsi="Times New Roman" w:eastAsia="宋体"/>
                <w:sz w:val="24"/>
                <w:szCs w:val="24"/>
              </w:rPr>
              <w:t xml:space="preserve">4</w:t>
            </w:r>
          </w:p>
        </w:tc>
      </w:tr>
      <w:tr>
        <w:tc>
          <w:tcPr>
            <w:tcW w:w="900" w:type="dxa"/>
          </w:tcPr>
          <w:p w14:paraId="1A2B3C46" w14:textId="77777777" w:rsidR="00A1B2C3" w:rsidRDefault="00A1B2C3">
            <w:r w:rsidRPr="00C4D5E6">
              <w:rPr>
                <w:rFonts w:ascii="Times New Roman" w:hAnsi="Times New Roman" w:eastAsia="宋体"/>
                <w:sz w:val="24"/>
                <w:szCs w:val="24"/>
              </w:rPr>
              <w:t xml:space="preserve">Liu et al. ([14])</w:t>
            </w:r>
          </w:p>
        </w:tc>
        <w:tc>
          <w:tcPr>
            <w:tcW w:w="900" w:type="dxa"/>
          </w:tcPr>
          <w:p w14:paraId="1A2B3C47" w14:textId="77777777" w:rsidR="00A1B2C3" w:rsidRDefault="00A1B2C3">
            <w:r w:rsidRPr="00C4D5E6">
              <w:rPr>
                <w:rFonts w:ascii="Times New Roman" w:hAnsi="Times New Roman" w:eastAsia="宋体"/>
                <w:sz w:val="24"/>
                <w:szCs w:val="24"/>
              </w:rPr>
              <w:t xml:space="preserve">2021</w:t>
            </w:r>
          </w:p>
        </w:tc>
        <w:tc>
          <w:tcPr>
            <w:tcW w:w="900" w:type="dxa"/>
          </w:tcPr>
          <w:p w14:paraId="1A2B3C48" w14:textId="77777777" w:rsidR="00A1B2C3" w:rsidRDefault="00A1B2C3">
            <w:r w:rsidRPr="00C4D5E6">
              <w:rPr>
                <w:rFonts w:ascii="Times New Roman" w:hAnsi="Times New Roman" w:eastAsia="宋体"/>
                <w:sz w:val="24"/>
                <w:szCs w:val="24"/>
              </w:rPr>
              <w:t xml:space="preserve">IIA–IVA</w:t>
            </w:r>
          </w:p>
        </w:tc>
        <w:tc>
          <w:tcPr>
            <w:tcW w:w="900" w:type="dxa"/>
          </w:tcPr>
          <w:p w14:paraId="1A2B3C49" w14:textId="77777777" w:rsidR="00A1B2C3" w:rsidRDefault="00A1B2C3">
            <w:r w:rsidRPr="00C4D5E6">
              <w:rPr>
                <w:rFonts w:ascii="Times New Roman" w:hAnsi="Times New Roman" w:eastAsia="宋体"/>
                <w:sz w:val="24"/>
                <w:szCs w:val="24"/>
              </w:rPr>
              <w:t xml:space="preserve">110/0</w:t>
            </w:r>
          </w:p>
        </w:tc>
        <w:tc>
          <w:tcPr>
            <w:tcW w:w="900" w:type="dxa"/>
          </w:tcPr>
          <w:p w14:paraId="1A2B3C4A" w14:textId="77777777" w:rsidR="00A1B2C3" w:rsidRDefault="00A1B2C3">
            <w:r w:rsidRPr="00C4D5E6">
              <w:rPr>
                <w:rFonts w:ascii="Times New Roman" w:hAnsi="Times New Roman" w:eastAsia="宋体"/>
                <w:sz w:val="24"/>
                <w:szCs w:val="24"/>
              </w:rPr>
              <w:t xml:space="preserve">55/55</w:t>
            </w:r>
          </w:p>
        </w:tc>
        <w:tc>
          <w:tcPr>
            <w:tcW w:w="900" w:type="dxa"/>
          </w:tcPr>
          <w:p w14:paraId="1A2B3C4B" w14:textId="77777777" w:rsidR="00A1B2C3" w:rsidRDefault="00A1B2C3">
            <w:r w:rsidRPr="00C4D5E6">
              <w:rPr>
                <w:rFonts w:ascii="Times New Roman" w:hAnsi="Times New Roman" w:eastAsia="宋体"/>
                <w:sz w:val="24"/>
                <w:szCs w:val="24"/>
              </w:rPr>
              <w:t xml:space="preserve">60</w:t>
            </w:r>
          </w:p>
        </w:tc>
        <w:tc>
          <w:tcPr>
            <w:tcW w:w="900" w:type="dxa"/>
          </w:tcPr>
          <w:p w14:paraId="1A2B3C4C" w14:textId="77777777" w:rsidR="00A1B2C3" w:rsidRDefault="00A1B2C3">
            <w:r w:rsidRPr="00C4D5E6">
              <w:rPr>
                <w:rFonts w:ascii="Times New Roman" w:hAnsi="Times New Roman" w:eastAsia="宋体"/>
                <w:sz w:val="24"/>
                <w:szCs w:val="24"/>
              </w:rPr>
              <w:t xml:space="preserve">DP</w:t>
            </w:r>
          </w:p>
        </w:tc>
        <w:tc>
          <w:tcPr>
            <w:tcW w:w="900" w:type="dxa"/>
          </w:tcPr>
          <w:p w14:paraId="1A2B3C4D" w14:textId="77777777" w:rsidR="00A1B2C3" w:rsidRDefault="00A1B2C3">
            <w:r w:rsidRPr="00C4D5E6">
              <w:rPr>
                <w:rFonts w:ascii="Times New Roman" w:hAnsi="Times New Roman" w:eastAsia="宋体"/>
                <w:sz w:val="24"/>
                <w:szCs w:val="24"/>
              </w:rPr>
              <w:t xml:space="preserve">DP</w:t>
            </w:r>
          </w:p>
        </w:tc>
        <w:tc>
          <w:tcPr>
            <w:tcW w:w="900" w:type="dxa"/>
          </w:tcPr>
          <w:p w14:paraId="1A2B3C4E" w14:textId="77777777" w:rsidR="00A1B2C3" w:rsidRDefault="00A1B2C3">
            <w:r w:rsidRPr="00C4D5E6">
              <w:rPr>
                <w:rFonts w:ascii="Times New Roman" w:hAnsi="Times New Roman" w:eastAsia="宋体"/>
                <w:sz w:val="24"/>
                <w:szCs w:val="24"/>
              </w:rPr>
              <w:t xml:space="preserve">2</w:t>
            </w:r>
          </w:p>
        </w:tc>
        <w:tc>
          <w:tcPr>
            <w:tcW w:w="900" w:type="dxa"/>
          </w:tcPr>
          <w:p w14:paraId="1A2B3C4F" w14:textId="77777777" w:rsidR="00A1B2C3" w:rsidRDefault="00A1B2C3">
            <w:r w:rsidRPr="00C4D5E6">
              <w:rPr>
                <w:rFonts w:ascii="Times New Roman" w:hAnsi="Times New Roman" w:eastAsia="宋体"/>
                <w:sz w:val="24"/>
                <w:szCs w:val="24"/>
              </w:rPr>
              <w:t xml:space="preserve">5</w:t>
            </w:r>
          </w:p>
        </w:tc>
      </w:tr>
    </w:tbl>
    <w:p w14:paraId="1A2B3C50" w14:textId="77777777" w:rsidR="00A1B2C3" w:rsidRDefault="00A1B2C3">
      <w:pPr>
        <w:spacing w:line="480" w:lineRule="auto"/>
        <w:ind w:firstLine="480"/>
        <w:jc w:val="both"/>
      </w:pPr>
      <w:r w:rsidRPr="00C4D5E6">
        <w:rPr>
          <w:i/>
          <w:rFonts w:ascii="Times New Roman" w:hAnsi="Times New Roman" w:eastAsia="宋体"/>
          <w:sz w:val="24"/>
          <w:szCs w:val="24"/>
        </w:rPr>
        <w:t xml:space="preserve">ESCC, esophageal squamous cell carcinoma; EAC, esophageal adenocarcinoma; DP, docetaxel plus cisplatin; TF, platinum plus taxane; PF, platinum plus fluorouracil; C, capecitabine; PTF, fluoropyrimidine, platinum plus taxane; PF, platinum plus fluoropyrimidine; TP, platinum plus taxane; TF, fluoropyrimidine plus taxane; IC, induction chemotherapy; CCRT, concurrent chemoradiotherapy.</w:t>
      </w:r>
    </w:p>
    <w:p w14:paraId="1A2B3C51" w14:textId="77777777" w:rsidR="00A1B2C3" w:rsidRDefault="00A1B2C3">
      <w:pPr>
        <w:spacing w:line="480" w:lineRule="auto"/>
        <w:ind w:firstLine="480"/>
        <w:jc w:val="both"/>
      </w:pPr>
      <w:r w:rsidRPr="00C4D5E6">
        <w:rPr>
          <w:b/>
          <w:rFonts w:ascii="Times New Roman" w:hAnsi="Times New Roman" w:eastAsia="宋体"/>
          <w:sz w:val="24"/>
          <w:szCs w:val="24"/>
        </w:rPr>
        <w:t xml:space="preserve">Table 2.</w:t>
      </w:r>
      <w:r w:rsidRPr="00C4D5E6">
        <w:rPr>
          <w:rFonts w:ascii="Times New Roman" w:hAnsi="Times New Roman" w:eastAsia="宋体"/>
          <w:sz w:val="24"/>
          <w:szCs w:val="24"/>
        </w:rPr>
        <w:t xml:space="preserve"> Basic characteristics of the included studies (CCRT-CCT vs. CCRT alone group).</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900"/>
        <w:gridCol w:w="900"/>
        <w:gridCol w:w="900"/>
        <w:gridCol w:w="900"/>
        <w:gridCol w:w="900"/>
        <w:gridCol w:w="900"/>
        <w:gridCol w:w="900"/>
        <w:gridCol w:w="900"/>
        <w:gridCol w:w="900"/>
        <w:gridCol w:w="900"/>
      </w:tblGrid>
      <w:tr>
        <w:trPr>
          <w:tblHeader/>
        </w:trPr>
        <w:tc>
          <w:tcPr>
            <w:tcW w:w="900" w:type="dxa"/>
          </w:tcPr>
          <w:p w14:paraId="1A2B3C52" w14:textId="77777777" w:rsidR="00A1B2C3" w:rsidRDefault="00A1B2C3">
            <w:r w:rsidRPr="00C4D5E6">
              <w:rPr>
                <w:rFonts w:ascii="Times New Roman" w:hAnsi="Times New Roman" w:eastAsia="宋体"/>
                <w:sz w:val="24"/>
                <w:szCs w:val="24"/>
              </w:rPr>
              <w:t xml:space="preserve">Author</w:t>
            </w:r>
          </w:p>
        </w:tc>
        <w:tc>
          <w:tcPr>
            <w:tcW w:w="900" w:type="dxa"/>
          </w:tcPr>
          <w:p w14:paraId="1A2B3C53" w14:textId="77777777" w:rsidR="00A1B2C3" w:rsidRDefault="00A1B2C3">
            <w:r w:rsidRPr="00C4D5E6">
              <w:rPr>
                <w:rFonts w:ascii="Times New Roman" w:hAnsi="Times New Roman" w:eastAsia="宋体"/>
                <w:sz w:val="24"/>
                <w:szCs w:val="24"/>
              </w:rPr>
              <w:t xml:space="preserve">Year</w:t>
            </w:r>
          </w:p>
        </w:tc>
        <w:tc>
          <w:tcPr>
            <w:tcW w:w="900" w:type="dxa"/>
          </w:tcPr>
          <w:p w14:paraId="1A2B3C54" w14:textId="77777777" w:rsidR="00A1B2C3" w:rsidRDefault="00A1B2C3">
            <w:r w:rsidRPr="00C4D5E6">
              <w:rPr>
                <w:rFonts w:ascii="Times New Roman" w:hAnsi="Times New Roman" w:eastAsia="宋体"/>
                <w:sz w:val="24"/>
                <w:szCs w:val="24"/>
              </w:rPr>
              <w:t xml:space="preserve">Stage</w:t>
            </w:r>
          </w:p>
        </w:tc>
        <w:tc>
          <w:tcPr>
            <w:tcW w:w="900" w:type="dxa"/>
          </w:tcPr>
          <w:p w14:paraId="1A2B3C55" w14:textId="77777777" w:rsidR="00A1B2C3" w:rsidRDefault="00A1B2C3">
            <w:r w:rsidRPr="00C4D5E6">
              <w:rPr>
                <w:rFonts w:ascii="Times New Roman" w:hAnsi="Times New Roman" w:eastAsia="宋体"/>
                <w:sz w:val="24"/>
                <w:szCs w:val="24"/>
              </w:rPr>
              <w:t xml:space="preserve">ESCC/EAC</w:t>
            </w:r>
          </w:p>
        </w:tc>
        <w:tc>
          <w:tcPr>
            <w:tcW w:w="900" w:type="dxa"/>
          </w:tcPr>
          <w:p w14:paraId="1A2B3C56" w14:textId="77777777" w:rsidR="00A1B2C3" w:rsidRDefault="00A1B2C3">
            <w:r w:rsidRPr="00C4D5E6">
              <w:rPr>
                <w:rFonts w:ascii="Times New Roman" w:hAnsi="Times New Roman" w:eastAsia="宋体"/>
                <w:sz w:val="24"/>
                <w:szCs w:val="24"/>
              </w:rPr>
              <w:t xml:space="preserve">CCRT-CCT/CCRT alone</w:t>
            </w:r>
          </w:p>
        </w:tc>
        <w:tc>
          <w:tcPr>
            <w:tcW w:w="900" w:type="dxa"/>
          </w:tcPr>
          <w:p w14:paraId="1A2B3C57" w14:textId="77777777" w:rsidR="00A1B2C3" w:rsidRDefault="00A1B2C3">
            <w:r w:rsidRPr="00C4D5E6">
              <w:rPr>
                <w:rFonts w:ascii="Times New Roman" w:hAnsi="Times New Roman" w:eastAsia="宋体"/>
                <w:sz w:val="24"/>
                <w:szCs w:val="24"/>
              </w:rPr>
              <w:t xml:space="preserve">Radiation dose (Gy)</w:t>
            </w:r>
          </w:p>
        </w:tc>
        <w:tc>
          <w:tcPr>
            <w:tcW w:w="900" w:type="dxa"/>
          </w:tcPr>
          <w:p w14:paraId="1A2B3C58" w14:textId="77777777" w:rsidR="00A1B2C3" w:rsidRDefault="00A1B2C3">
            <w:r w:rsidRPr="00C4D5E6">
              <w:rPr>
                <w:rFonts w:ascii="Times New Roman" w:hAnsi="Times New Roman" w:eastAsia="宋体"/>
                <w:sz w:val="24"/>
                <w:szCs w:val="24"/>
              </w:rPr>
              <w:t xml:space="preserve">Current chemotherapy regimen</w:t>
            </w:r>
          </w:p>
        </w:tc>
        <w:tc>
          <w:tcPr>
            <w:tcW w:w="900" w:type="dxa"/>
          </w:tcPr>
          <w:p w14:paraId="1A2B3C59" w14:textId="77777777" w:rsidR="00A1B2C3" w:rsidRDefault="00A1B2C3">
            <w:r w:rsidRPr="00C4D5E6">
              <w:rPr>
                <w:rFonts w:ascii="Times New Roman" w:hAnsi="Times New Roman" w:eastAsia="宋体"/>
                <w:sz w:val="24"/>
                <w:szCs w:val="24"/>
              </w:rPr>
              <w:t xml:space="preserve">CCT regimen</w:t>
            </w:r>
          </w:p>
        </w:tc>
        <w:tc>
          <w:tcPr>
            <w:tcW w:w="900" w:type="dxa"/>
          </w:tcPr>
          <w:p w14:paraId="1A2B3C5A" w14:textId="77777777" w:rsidR="00A1B2C3" w:rsidRDefault="00A1B2C3">
            <w:r w:rsidRPr="00C4D5E6">
              <w:rPr>
                <w:rFonts w:ascii="Times New Roman" w:hAnsi="Times New Roman" w:eastAsia="宋体"/>
                <w:sz w:val="24"/>
                <w:szCs w:val="24"/>
              </w:rPr>
              <w:t xml:space="preserve">The cycles of CCT</w:t>
            </w:r>
          </w:p>
        </w:tc>
        <w:tc>
          <w:tcPr>
            <w:tcW w:w="900" w:type="dxa"/>
          </w:tcPr>
          <w:p w14:paraId="1A2B3C5B" w14:textId="77777777" w:rsidR="00A1B2C3" w:rsidRDefault="00A1B2C3">
            <w:r w:rsidRPr="00C4D5E6">
              <w:rPr>
                <w:rFonts w:ascii="Times New Roman" w:hAnsi="Times New Roman" w:eastAsia="宋体"/>
                <w:sz w:val="24"/>
                <w:szCs w:val="24"/>
              </w:rPr>
              <w:t xml:space="preserve">Quality evaluation</w:t>
            </w:r>
          </w:p>
        </w:tc>
      </w:tr>
      <w:tr>
        <w:tc>
          <w:tcPr>
            <w:tcW w:w="900" w:type="dxa"/>
          </w:tcPr>
          <w:p w14:paraId="1A2B3C5C" w14:textId="77777777" w:rsidR="00A1B2C3" w:rsidRDefault="00A1B2C3">
            <w:r w:rsidRPr="00C4D5E6">
              <w:rPr>
                <w:rFonts w:ascii="Times New Roman" w:hAnsi="Times New Roman" w:eastAsia="宋体"/>
                <w:sz w:val="24"/>
                <w:szCs w:val="24"/>
              </w:rPr>
              <w:t xml:space="preserve">Wu et al. ([15])</w:t>
            </w:r>
          </w:p>
        </w:tc>
        <w:tc>
          <w:tcPr>
            <w:tcW w:w="900" w:type="dxa"/>
          </w:tcPr>
          <w:p w14:paraId="1A2B3C5D" w14:textId="77777777" w:rsidR="00A1B2C3" w:rsidRDefault="00A1B2C3">
            <w:r w:rsidRPr="00C4D5E6">
              <w:rPr>
                <w:rFonts w:ascii="Times New Roman" w:hAnsi="Times New Roman" w:eastAsia="宋体"/>
                <w:sz w:val="24"/>
                <w:szCs w:val="24"/>
              </w:rPr>
              <w:t xml:space="preserve">2017</w:t>
            </w:r>
          </w:p>
        </w:tc>
        <w:tc>
          <w:tcPr>
            <w:tcW w:w="900" w:type="dxa"/>
          </w:tcPr>
          <w:p w14:paraId="1A2B3C5E" w14:textId="77777777" w:rsidR="00A1B2C3" w:rsidRDefault="00A1B2C3">
            <w:r w:rsidRPr="00C4D5E6">
              <w:rPr>
                <w:rFonts w:ascii="Times New Roman" w:hAnsi="Times New Roman" w:eastAsia="宋体"/>
                <w:sz w:val="24"/>
                <w:szCs w:val="24"/>
              </w:rPr>
              <w:t xml:space="preserve">I–III</w:t>
            </w:r>
          </w:p>
        </w:tc>
        <w:tc>
          <w:tcPr>
            <w:tcW w:w="900" w:type="dxa"/>
          </w:tcPr>
          <w:p w14:paraId="1A2B3C5F" w14:textId="77777777" w:rsidR="00A1B2C3" w:rsidRDefault="00A1B2C3">
            <w:r w:rsidRPr="00C4D5E6">
              <w:rPr>
                <w:rFonts w:ascii="Times New Roman" w:hAnsi="Times New Roman" w:eastAsia="宋体"/>
                <w:sz w:val="24"/>
                <w:szCs w:val="24"/>
              </w:rPr>
              <w:t xml:space="preserve">209/0</w:t>
            </w:r>
          </w:p>
        </w:tc>
        <w:tc>
          <w:tcPr>
            <w:tcW w:w="900" w:type="dxa"/>
          </w:tcPr>
          <w:p w14:paraId="1A2B3C60" w14:textId="77777777" w:rsidR="00A1B2C3" w:rsidRDefault="00A1B2C3">
            <w:r w:rsidRPr="00C4D5E6">
              <w:rPr>
                <w:rFonts w:ascii="Times New Roman" w:hAnsi="Times New Roman" w:eastAsia="宋体"/>
                <w:sz w:val="24"/>
                <w:szCs w:val="24"/>
              </w:rPr>
              <w:t xml:space="preserve">67/142</w:t>
            </w:r>
          </w:p>
        </w:tc>
        <w:tc>
          <w:tcPr>
            <w:tcW w:w="900" w:type="dxa"/>
          </w:tcPr>
          <w:p w14:paraId="1A2B3C61" w14:textId="77777777" w:rsidR="00A1B2C3" w:rsidRDefault="00A1B2C3">
            <w:r w:rsidRPr="00C4D5E6">
              <w:rPr>
                <w:rFonts w:ascii="Times New Roman" w:hAnsi="Times New Roman" w:eastAsia="宋体"/>
                <w:sz w:val="24"/>
                <w:szCs w:val="24"/>
              </w:rPr>
              <w:t xml:space="preserve">≥50.4</w:t>
            </w:r>
          </w:p>
        </w:tc>
        <w:tc>
          <w:tcPr>
            <w:tcW w:w="900" w:type="dxa"/>
          </w:tcPr>
          <w:p w14:paraId="1A2B3C62" w14:textId="77777777" w:rsidR="00A1B2C3" w:rsidRDefault="00A1B2C3">
            <w:r w:rsidRPr="00C4D5E6">
              <w:rPr>
                <w:rFonts w:ascii="Times New Roman" w:hAnsi="Times New Roman" w:eastAsia="宋体"/>
                <w:sz w:val="24"/>
                <w:szCs w:val="24"/>
              </w:rPr>
              <w:t xml:space="preserve">PF</w:t>
            </w:r>
          </w:p>
        </w:tc>
        <w:tc>
          <w:tcPr>
            <w:tcW w:w="900" w:type="dxa"/>
          </w:tcPr>
          <w:p w14:paraId="1A2B3C63" w14:textId="77777777" w:rsidR="00A1B2C3" w:rsidRDefault="00A1B2C3">
            <w:r w:rsidRPr="00C4D5E6">
              <w:rPr>
                <w:rFonts w:ascii="Times New Roman" w:hAnsi="Times New Roman" w:eastAsia="宋体"/>
                <w:sz w:val="24"/>
                <w:szCs w:val="24"/>
              </w:rPr>
              <w:t xml:space="preserve">PF/ND/DP</w:t>
            </w:r>
          </w:p>
        </w:tc>
        <w:tc>
          <w:tcPr>
            <w:tcW w:w="900" w:type="dxa"/>
          </w:tcPr>
          <w:p w14:paraId="1A2B3C64" w14:textId="77777777" w:rsidR="00A1B2C3" w:rsidRDefault="00A1B2C3">
            <w:r w:rsidRPr="00C4D5E6">
              <w:rPr>
                <w:rFonts w:ascii="Times New Roman" w:hAnsi="Times New Roman" w:eastAsia="宋体"/>
                <w:sz w:val="24"/>
                <w:szCs w:val="24"/>
              </w:rPr>
              <w:t xml:space="preserve">2</w:t>
            </w:r>
          </w:p>
        </w:tc>
        <w:tc>
          <w:tcPr>
            <w:tcW w:w="900" w:type="dxa"/>
          </w:tcPr>
          <w:p w14:paraId="1A2B3C65" w14:textId="77777777" w:rsidR="00A1B2C3" w:rsidRDefault="00A1B2C3">
            <w:r w:rsidRPr="00C4D5E6">
              <w:rPr>
                <w:rFonts w:ascii="Times New Roman" w:hAnsi="Times New Roman" w:eastAsia="宋体"/>
                <w:sz w:val="24"/>
                <w:szCs w:val="24"/>
              </w:rPr>
              <w:t xml:space="preserve">4</w:t>
            </w:r>
          </w:p>
        </w:tc>
      </w:tr>
      <w:tr>
        <w:tc>
          <w:tcPr>
            <w:tcW w:w="900" w:type="dxa"/>
          </w:tcPr>
          <w:p w14:paraId="1A2B3C66" w14:textId="77777777" w:rsidR="00A1B2C3" w:rsidRDefault="00A1B2C3">
            <w:r w:rsidRPr="00C4D5E6">
              <w:rPr>
                <w:rFonts w:ascii="Times New Roman" w:hAnsi="Times New Roman" w:eastAsia="宋体"/>
                <w:sz w:val="24"/>
                <w:szCs w:val="24"/>
              </w:rPr>
              <w:t xml:space="preserve">Chen et al. ([16])</w:t>
            </w:r>
          </w:p>
        </w:tc>
        <w:tc>
          <w:tcPr>
            <w:tcW w:w="900" w:type="dxa"/>
          </w:tcPr>
          <w:p w14:paraId="1A2B3C67" w14:textId="77777777" w:rsidR="00A1B2C3" w:rsidRDefault="00A1B2C3">
            <w:r w:rsidRPr="00C4D5E6">
              <w:rPr>
                <w:rFonts w:ascii="Times New Roman" w:hAnsi="Times New Roman" w:eastAsia="宋体"/>
                <w:sz w:val="24"/>
                <w:szCs w:val="24"/>
              </w:rPr>
              <w:t xml:space="preserve">2018</w:t>
            </w:r>
          </w:p>
        </w:tc>
        <w:tc>
          <w:tcPr>
            <w:tcW w:w="900" w:type="dxa"/>
          </w:tcPr>
          <w:p w14:paraId="1A2B3C68" w14:textId="77777777" w:rsidR="00A1B2C3" w:rsidRDefault="00A1B2C3">
            <w:r w:rsidRPr="00C4D5E6">
              <w:rPr>
                <w:rFonts w:ascii="Times New Roman" w:hAnsi="Times New Roman" w:eastAsia="宋体"/>
                <w:sz w:val="24"/>
                <w:szCs w:val="24"/>
              </w:rPr>
              <w:t xml:space="preserve">II–III</w:t>
            </w:r>
          </w:p>
        </w:tc>
        <w:tc>
          <w:tcPr>
            <w:tcW w:w="900" w:type="dxa"/>
          </w:tcPr>
          <w:p w14:paraId="1A2B3C69" w14:textId="77777777" w:rsidR="00A1B2C3" w:rsidRDefault="00A1B2C3">
            <w:r w:rsidRPr="00C4D5E6">
              <w:rPr>
                <w:rFonts w:ascii="Times New Roman" w:hAnsi="Times New Roman" w:eastAsia="宋体"/>
                <w:sz w:val="24"/>
                <w:szCs w:val="24"/>
              </w:rPr>
              <w:t xml:space="preserve">524/0</w:t>
            </w:r>
          </w:p>
        </w:tc>
        <w:tc>
          <w:tcPr>
            <w:tcW w:w="900" w:type="dxa"/>
          </w:tcPr>
          <w:p w14:paraId="1A2B3C6A" w14:textId="77777777" w:rsidR="00A1B2C3" w:rsidRDefault="00A1B2C3">
            <w:r w:rsidRPr="00C4D5E6">
              <w:rPr>
                <w:rFonts w:ascii="Times New Roman" w:hAnsi="Times New Roman" w:eastAsia="宋体"/>
                <w:sz w:val="24"/>
                <w:szCs w:val="24"/>
              </w:rPr>
              <w:t xml:space="preserve">262/262</w:t>
            </w:r>
          </w:p>
        </w:tc>
        <w:tc>
          <w:tcPr>
            <w:tcW w:w="900" w:type="dxa"/>
          </w:tcPr>
          <w:p w14:paraId="1A2B3C6B" w14:textId="77777777" w:rsidR="00A1B2C3" w:rsidRDefault="00A1B2C3">
            <w:r w:rsidRPr="00C4D5E6">
              <w:rPr>
                <w:rFonts w:ascii="Times New Roman" w:hAnsi="Times New Roman" w:eastAsia="宋体"/>
                <w:sz w:val="24"/>
                <w:szCs w:val="24"/>
              </w:rPr>
              <w:t xml:space="preserve">50.4–66</w:t>
            </w:r>
          </w:p>
        </w:tc>
        <w:tc>
          <w:tcPr>
            <w:tcW w:w="900" w:type="dxa"/>
          </w:tcPr>
          <w:p w14:paraId="1A2B3C6C" w14:textId="77777777" w:rsidR="00A1B2C3" w:rsidRDefault="00A1B2C3">
            <w:r w:rsidRPr="00C4D5E6">
              <w:rPr>
                <w:rFonts w:ascii="Times New Roman" w:hAnsi="Times New Roman" w:eastAsia="宋体"/>
                <w:sz w:val="24"/>
                <w:szCs w:val="24"/>
              </w:rPr>
              <w:t xml:space="preserve">PF</w:t>
            </w:r>
          </w:p>
        </w:tc>
        <w:tc>
          <w:tcPr>
            <w:tcW w:w="900" w:type="dxa"/>
          </w:tcPr>
          <w:p w14:paraId="1A2B3C6D" w14:textId="77777777" w:rsidR="00A1B2C3" w:rsidRDefault="00A1B2C3">
            <w:r w:rsidRPr="00C4D5E6">
              <w:rPr>
                <w:rFonts w:ascii="Times New Roman" w:hAnsi="Times New Roman" w:eastAsia="宋体"/>
                <w:sz w:val="24"/>
                <w:szCs w:val="24"/>
              </w:rPr>
              <w:t xml:space="preserve">PF</w:t>
            </w:r>
          </w:p>
        </w:tc>
        <w:tc>
          <w:tcPr>
            <w:tcW w:w="900" w:type="dxa"/>
          </w:tcPr>
          <w:p w14:paraId="1A2B3C6E" w14:textId="77777777" w:rsidR="00A1B2C3" w:rsidRDefault="00A1B2C3">
            <w:r w:rsidRPr="00C4D5E6">
              <w:rPr>
                <w:rFonts w:ascii="Times New Roman" w:hAnsi="Times New Roman" w:eastAsia="宋体"/>
                <w:sz w:val="24"/>
                <w:szCs w:val="24"/>
              </w:rPr>
              <w:t xml:space="preserve">2</w:t>
            </w:r>
          </w:p>
        </w:tc>
        <w:tc>
          <w:tcPr>
            <w:tcW w:w="900" w:type="dxa"/>
          </w:tcPr>
          <w:p w14:paraId="1A2B3C6F" w14:textId="77777777" w:rsidR="00A1B2C3" w:rsidRDefault="00A1B2C3">
            <w:r w:rsidRPr="00C4D5E6">
              <w:rPr>
                <w:rFonts w:ascii="Times New Roman" w:hAnsi="Times New Roman" w:eastAsia="宋体"/>
                <w:sz w:val="24"/>
                <w:szCs w:val="24"/>
              </w:rPr>
              <w:t xml:space="preserve">4</w:t>
            </w:r>
          </w:p>
        </w:tc>
      </w:tr>
      <w:tr>
        <w:tc>
          <w:tcPr>
            <w:tcW w:w="900" w:type="dxa"/>
          </w:tcPr>
          <w:p w14:paraId="1A2B3C70" w14:textId="77777777" w:rsidR="00A1B2C3" w:rsidRDefault="00A1B2C3">
            <w:r w:rsidRPr="00C4D5E6">
              <w:rPr>
                <w:rFonts w:ascii="Times New Roman" w:hAnsi="Times New Roman" w:eastAsia="宋体"/>
                <w:sz w:val="24"/>
                <w:szCs w:val="24"/>
              </w:rPr>
              <w:t xml:space="preserve">Chen et al. ([17])</w:t>
            </w:r>
          </w:p>
        </w:tc>
        <w:tc>
          <w:tcPr>
            <w:tcW w:w="900" w:type="dxa"/>
          </w:tcPr>
          <w:p w14:paraId="1A2B3C71" w14:textId="77777777" w:rsidR="00A1B2C3" w:rsidRDefault="00A1B2C3">
            <w:r w:rsidRPr="00C4D5E6">
              <w:rPr>
                <w:rFonts w:ascii="Times New Roman" w:hAnsi="Times New Roman" w:eastAsia="宋体"/>
                <w:sz w:val="24"/>
                <w:szCs w:val="24"/>
              </w:rPr>
              <w:t xml:space="preserve">2018</w:t>
            </w:r>
          </w:p>
        </w:tc>
        <w:tc>
          <w:tcPr>
            <w:tcW w:w="900" w:type="dxa"/>
          </w:tcPr>
          <w:p w14:paraId="1A2B3C72" w14:textId="77777777" w:rsidR="00A1B2C3" w:rsidRDefault="00A1B2C3">
            <w:r w:rsidRPr="00C4D5E6">
              <w:rPr>
                <w:rFonts w:ascii="Times New Roman" w:hAnsi="Times New Roman" w:eastAsia="宋体"/>
                <w:sz w:val="24"/>
                <w:szCs w:val="24"/>
              </w:rPr>
              <w:t xml:space="preserve">II–IVB</w:t>
            </w:r>
          </w:p>
        </w:tc>
        <w:tc>
          <w:tcPr>
            <w:tcW w:w="900" w:type="dxa"/>
          </w:tcPr>
          <w:p w14:paraId="1A2B3C73" w14:textId="77777777" w:rsidR="00A1B2C3" w:rsidRDefault="00A1B2C3">
            <w:r w:rsidRPr="00C4D5E6">
              <w:rPr>
                <w:rFonts w:ascii="Times New Roman" w:hAnsi="Times New Roman" w:eastAsia="宋体"/>
                <w:sz w:val="24"/>
                <w:szCs w:val="24"/>
              </w:rPr>
              <w:t xml:space="preserve">187/0</w:t>
            </w:r>
          </w:p>
        </w:tc>
        <w:tc>
          <w:tcPr>
            <w:tcW w:w="900" w:type="dxa"/>
          </w:tcPr>
          <w:p w14:paraId="1A2B3C74" w14:textId="77777777" w:rsidR="00A1B2C3" w:rsidRDefault="00A1B2C3">
            <w:r w:rsidRPr="00C4D5E6">
              <w:rPr>
                <w:rFonts w:ascii="Times New Roman" w:hAnsi="Times New Roman" w:eastAsia="宋体"/>
                <w:sz w:val="24"/>
                <w:szCs w:val="24"/>
              </w:rPr>
              <w:t xml:space="preserve">89/98</w:t>
            </w:r>
          </w:p>
        </w:tc>
        <w:tc>
          <w:tcPr>
            <w:tcW w:w="900" w:type="dxa"/>
          </w:tcPr>
          <w:p w14:paraId="1A2B3C75" w14:textId="77777777" w:rsidR="00A1B2C3" w:rsidRDefault="00A1B2C3">
            <w:r w:rsidRPr="00C4D5E6">
              <w:rPr>
                <w:rFonts w:ascii="Times New Roman" w:hAnsi="Times New Roman" w:eastAsia="宋体"/>
                <w:sz w:val="24"/>
                <w:szCs w:val="24"/>
              </w:rPr>
              <w:t xml:space="preserve">50–66</w:t>
            </w:r>
          </w:p>
        </w:tc>
        <w:tc>
          <w:tcPr>
            <w:tcW w:w="900" w:type="dxa"/>
          </w:tcPr>
          <w:p w14:paraId="1A2B3C76" w14:textId="77777777" w:rsidR="00A1B2C3" w:rsidRDefault="00A1B2C3">
            <w:r w:rsidRPr="00C4D5E6">
              <w:rPr>
                <w:rFonts w:ascii="Times New Roman" w:hAnsi="Times New Roman" w:eastAsia="宋体"/>
                <w:sz w:val="24"/>
                <w:szCs w:val="24"/>
              </w:rPr>
              <w:t xml:space="preserve">PF/TP</w:t>
            </w:r>
          </w:p>
        </w:tc>
        <w:tc>
          <w:tcPr>
            <w:tcW w:w="900" w:type="dxa"/>
          </w:tcPr>
          <w:p w14:paraId="1A2B3C77" w14:textId="77777777" w:rsidR="00A1B2C3" w:rsidRDefault="00A1B2C3">
            <w:r w:rsidRPr="00C4D5E6">
              <w:rPr>
                <w:rFonts w:ascii="Times New Roman" w:hAnsi="Times New Roman" w:eastAsia="宋体"/>
                <w:sz w:val="24"/>
                <w:szCs w:val="24"/>
              </w:rPr>
              <w:t xml:space="preserve">PF/TP</w:t>
            </w:r>
          </w:p>
        </w:tc>
        <w:tc>
          <w:tcPr>
            <w:tcW w:w="900" w:type="dxa"/>
          </w:tcPr>
          <w:p w14:paraId="1A2B3C78" w14:textId="77777777" w:rsidR="00A1B2C3" w:rsidRDefault="00A1B2C3">
            <w:r w:rsidRPr="00C4D5E6">
              <w:rPr>
                <w:rFonts w:ascii="Times New Roman" w:hAnsi="Times New Roman" w:eastAsia="宋体"/>
                <w:sz w:val="24"/>
                <w:szCs w:val="24"/>
              </w:rPr>
              <w:t xml:space="preserve">2 (1–4)</w:t>
            </w:r>
          </w:p>
        </w:tc>
        <w:tc>
          <w:tcPr>
            <w:tcW w:w="900" w:type="dxa"/>
          </w:tcPr>
          <w:p w14:paraId="1A2B3C79" w14:textId="77777777" w:rsidR="00A1B2C3" w:rsidRDefault="00A1B2C3">
            <w:r w:rsidRPr="00C4D5E6">
              <w:rPr>
                <w:rFonts w:ascii="Times New Roman" w:hAnsi="Times New Roman" w:eastAsia="宋体"/>
                <w:sz w:val="24"/>
                <w:szCs w:val="24"/>
              </w:rPr>
              <w:t xml:space="preserve">4</w:t>
            </w:r>
          </w:p>
        </w:tc>
      </w:tr>
      <w:tr>
        <w:tc>
          <w:tcPr>
            <w:tcW w:w="900" w:type="dxa"/>
          </w:tcPr>
          <w:p w14:paraId="1A2B3C7A" w14:textId="77777777" w:rsidR="00A1B2C3" w:rsidRDefault="00A1B2C3">
            <w:r w:rsidRPr="00C4D5E6">
              <w:rPr>
                <w:rFonts w:ascii="Times New Roman" w:hAnsi="Times New Roman" w:eastAsia="宋体"/>
                <w:sz w:val="24"/>
                <w:szCs w:val="24"/>
              </w:rPr>
              <w:t xml:space="preserve">Chen et al. ([18])</w:t>
            </w:r>
          </w:p>
        </w:tc>
        <w:tc>
          <w:tcPr>
            <w:tcW w:w="900" w:type="dxa"/>
          </w:tcPr>
          <w:p w14:paraId="1A2B3C7B" w14:textId="77777777" w:rsidR="00A1B2C3" w:rsidRDefault="00A1B2C3">
            <w:r w:rsidRPr="00C4D5E6">
              <w:rPr>
                <w:rFonts w:ascii="Times New Roman" w:hAnsi="Times New Roman" w:eastAsia="宋体"/>
                <w:sz w:val="24"/>
                <w:szCs w:val="24"/>
              </w:rPr>
              <w:t xml:space="preserve">2018</w:t>
            </w:r>
          </w:p>
        </w:tc>
        <w:tc>
          <w:tcPr>
            <w:tcW w:w="900" w:type="dxa"/>
          </w:tcPr>
          <w:p w14:paraId="1A2B3C7C" w14:textId="77777777" w:rsidR="00A1B2C3" w:rsidRDefault="00A1B2C3">
            <w:r w:rsidRPr="00C4D5E6">
              <w:rPr>
                <w:rFonts w:ascii="Times New Roman" w:hAnsi="Times New Roman" w:eastAsia="宋体"/>
                <w:sz w:val="24"/>
                <w:szCs w:val="24"/>
              </w:rPr>
              <w:t xml:space="preserve">I–IV</w:t>
            </w:r>
          </w:p>
        </w:tc>
        <w:tc>
          <w:tcPr>
            <w:tcW w:w="900" w:type="dxa"/>
          </w:tcPr>
          <w:p w14:paraId="1A2B3C7D" w14:textId="77777777" w:rsidR="00A1B2C3" w:rsidRDefault="00A1B2C3">
            <w:r w:rsidRPr="00C4D5E6">
              <w:rPr>
                <w:rFonts w:ascii="Times New Roman" w:hAnsi="Times New Roman" w:eastAsia="宋体"/>
                <w:sz w:val="24"/>
                <w:szCs w:val="24"/>
              </w:rPr>
              <w:t xml:space="preserve">124/0</w:t>
            </w:r>
          </w:p>
        </w:tc>
        <w:tc>
          <w:tcPr>
            <w:tcW w:w="900" w:type="dxa"/>
          </w:tcPr>
          <w:p w14:paraId="1A2B3C7E" w14:textId="77777777" w:rsidR="00A1B2C3" w:rsidRDefault="00A1B2C3">
            <w:r w:rsidRPr="00C4D5E6">
              <w:rPr>
                <w:rFonts w:ascii="Times New Roman" w:hAnsi="Times New Roman" w:eastAsia="宋体"/>
                <w:sz w:val="24"/>
                <w:szCs w:val="24"/>
              </w:rPr>
              <w:t xml:space="preserve">65/59</w:t>
            </w:r>
          </w:p>
        </w:tc>
        <w:tc>
          <w:tcPr>
            <w:tcW w:w="900" w:type="dxa"/>
          </w:tcPr>
          <w:p w14:paraId="1A2B3C7F" w14:textId="77777777" w:rsidR="00A1B2C3" w:rsidRDefault="00A1B2C3">
            <w:r w:rsidRPr="00C4D5E6">
              <w:rPr>
                <w:rFonts w:ascii="Times New Roman" w:hAnsi="Times New Roman" w:eastAsia="宋体"/>
                <w:sz w:val="24"/>
                <w:szCs w:val="24"/>
              </w:rPr>
              <w:t xml:space="preserve">50–74</w:t>
            </w:r>
          </w:p>
        </w:tc>
        <w:tc>
          <w:tcPr>
            <w:tcW w:w="900" w:type="dxa"/>
          </w:tcPr>
          <w:p w14:paraId="1A2B3C80" w14:textId="77777777" w:rsidR="00A1B2C3" w:rsidRDefault="00A1B2C3">
            <w:r w:rsidRPr="00C4D5E6">
              <w:rPr>
                <w:rFonts w:ascii="Times New Roman" w:hAnsi="Times New Roman" w:eastAsia="宋体"/>
                <w:sz w:val="24"/>
                <w:szCs w:val="24"/>
              </w:rPr>
              <w:t xml:space="preserve">PF/PP</w:t>
            </w:r>
          </w:p>
        </w:tc>
        <w:tc>
          <w:tcPr>
            <w:tcW w:w="900" w:type="dxa"/>
          </w:tcPr>
          <w:p w14:paraId="1A2B3C81" w14:textId="77777777" w:rsidR="00A1B2C3" w:rsidRDefault="00A1B2C3">
            <w:r w:rsidRPr="00C4D5E6">
              <w:rPr>
                <w:rFonts w:ascii="Times New Roman" w:hAnsi="Times New Roman" w:eastAsia="宋体"/>
                <w:sz w:val="24"/>
                <w:szCs w:val="24"/>
              </w:rPr>
              <w:t xml:space="preserve">PF/P</w:t>
            </w:r>
          </w:p>
        </w:tc>
        <w:tc>
          <w:tcPr>
            <w:tcW w:w="900" w:type="dxa"/>
          </w:tcPr>
          <w:p w14:paraId="1A2B3C82" w14:textId="77777777" w:rsidR="00A1B2C3" w:rsidRDefault="00A1B2C3">
            <w:r w:rsidRPr="00C4D5E6">
              <w:rPr>
                <w:rFonts w:ascii="Times New Roman" w:hAnsi="Times New Roman" w:eastAsia="宋体"/>
                <w:sz w:val="24"/>
                <w:szCs w:val="24"/>
              </w:rPr>
              <w:t xml:space="preserve">2–4</w:t>
            </w:r>
          </w:p>
        </w:tc>
        <w:tc>
          <w:tcPr>
            <w:tcW w:w="900" w:type="dxa"/>
          </w:tcPr>
          <w:p w14:paraId="1A2B3C83" w14:textId="77777777" w:rsidR="00A1B2C3" w:rsidRDefault="00A1B2C3">
            <w:r w:rsidRPr="00C4D5E6">
              <w:rPr>
                <w:rFonts w:ascii="Times New Roman" w:hAnsi="Times New Roman" w:eastAsia="宋体"/>
                <w:sz w:val="24"/>
                <w:szCs w:val="24"/>
              </w:rPr>
              <w:t xml:space="preserve">4</w:t>
            </w:r>
          </w:p>
        </w:tc>
      </w:tr>
      <w:tr>
        <w:tc>
          <w:tcPr>
            <w:tcW w:w="900" w:type="dxa"/>
          </w:tcPr>
          <w:p w14:paraId="1A2B3C84" w14:textId="77777777" w:rsidR="00A1B2C3" w:rsidRDefault="00A1B2C3">
            <w:r w:rsidRPr="00C4D5E6">
              <w:rPr>
                <w:rFonts w:ascii="Times New Roman" w:hAnsi="Times New Roman" w:eastAsia="宋体"/>
                <w:sz w:val="24"/>
                <w:szCs w:val="24"/>
              </w:rPr>
              <w:t xml:space="preserve">Koh et al. ([19])</w:t>
            </w:r>
          </w:p>
        </w:tc>
        <w:tc>
          <w:tcPr>
            <w:tcW w:w="900" w:type="dxa"/>
          </w:tcPr>
          <w:p w14:paraId="1A2B3C85" w14:textId="77777777" w:rsidR="00A1B2C3" w:rsidRDefault="00A1B2C3">
            <w:r w:rsidRPr="00C4D5E6">
              <w:rPr>
                <w:rFonts w:ascii="Times New Roman" w:hAnsi="Times New Roman" w:eastAsia="宋体"/>
                <w:sz w:val="24"/>
                <w:szCs w:val="24"/>
              </w:rPr>
              <w:t xml:space="preserve">2020</w:t>
            </w:r>
          </w:p>
        </w:tc>
        <w:tc>
          <w:tcPr>
            <w:tcW w:w="900" w:type="dxa"/>
          </w:tcPr>
          <w:p w14:paraId="1A2B3C86" w14:textId="77777777" w:rsidR="00A1B2C3" w:rsidRDefault="00A1B2C3">
            <w:r w:rsidRPr="00C4D5E6">
              <w:rPr>
                <w:rFonts w:ascii="Times New Roman" w:hAnsi="Times New Roman" w:eastAsia="宋体"/>
                <w:sz w:val="24"/>
                <w:szCs w:val="24"/>
              </w:rPr>
              <w:t xml:space="preserve">I–III</w:t>
            </w:r>
          </w:p>
        </w:tc>
        <w:tc>
          <w:tcPr>
            <w:tcW w:w="900" w:type="dxa"/>
          </w:tcPr>
          <w:p w14:paraId="1A2B3C87" w14:textId="77777777" w:rsidR="00A1B2C3" w:rsidRDefault="00A1B2C3">
            <w:r w:rsidRPr="00C4D5E6">
              <w:rPr>
                <w:rFonts w:ascii="Times New Roman" w:hAnsi="Times New Roman" w:eastAsia="宋体"/>
                <w:sz w:val="24"/>
                <w:szCs w:val="24"/>
              </w:rPr>
              <w:t xml:space="preserve">73/0</w:t>
            </w:r>
          </w:p>
        </w:tc>
        <w:tc>
          <w:tcPr>
            <w:tcW w:w="900" w:type="dxa"/>
          </w:tcPr>
          <w:p w14:paraId="1A2B3C88" w14:textId="77777777" w:rsidR="00A1B2C3" w:rsidRDefault="00A1B2C3">
            <w:r w:rsidRPr="00C4D5E6">
              <w:rPr>
                <w:rFonts w:ascii="Times New Roman" w:hAnsi="Times New Roman" w:eastAsia="宋体"/>
                <w:sz w:val="24"/>
                <w:szCs w:val="24"/>
              </w:rPr>
              <w:t xml:space="preserve">56/17</w:t>
            </w:r>
          </w:p>
        </w:tc>
        <w:tc>
          <w:tcPr>
            <w:tcW w:w="900" w:type="dxa"/>
          </w:tcPr>
          <w:p w14:paraId="1A2B3C89" w14:textId="77777777" w:rsidR="00A1B2C3" w:rsidRDefault="00A1B2C3">
            <w:r w:rsidRPr="00C4D5E6">
              <w:rPr>
                <w:rFonts w:ascii="Times New Roman" w:hAnsi="Times New Roman" w:eastAsia="宋体"/>
                <w:sz w:val="24"/>
                <w:szCs w:val="24"/>
              </w:rPr>
              <w:t xml:space="preserve">50–70</w:t>
            </w:r>
          </w:p>
        </w:tc>
        <w:tc>
          <w:tcPr>
            <w:tcW w:w="900" w:type="dxa"/>
          </w:tcPr>
          <w:p w14:paraId="1A2B3C8A" w14:textId="77777777" w:rsidR="00A1B2C3" w:rsidRDefault="00A1B2C3">
            <w:r w:rsidRPr="00C4D5E6">
              <w:rPr>
                <w:rFonts w:ascii="Times New Roman" w:hAnsi="Times New Roman" w:eastAsia="宋体"/>
                <w:sz w:val="24"/>
                <w:szCs w:val="24"/>
              </w:rPr>
              <w:t xml:space="preserve">PF/P/F</w:t>
            </w:r>
          </w:p>
        </w:tc>
        <w:tc>
          <w:tcPr>
            <w:tcW w:w="900" w:type="dxa"/>
          </w:tcPr>
          <w:p w14:paraId="1A2B3C8B" w14:textId="77777777" w:rsidR="00A1B2C3" w:rsidRDefault="00A1B2C3">
            <w:r w:rsidRPr="00C4D5E6">
              <w:rPr>
                <w:rFonts w:ascii="Times New Roman" w:hAnsi="Times New Roman" w:eastAsia="宋体"/>
                <w:sz w:val="24"/>
                <w:szCs w:val="24"/>
              </w:rPr>
              <w:t xml:space="preserve">PF/P/F</w:t>
            </w:r>
          </w:p>
        </w:tc>
        <w:tc>
          <w:tcPr>
            <w:tcW w:w="900" w:type="dxa"/>
          </w:tcPr>
          <w:p w14:paraId="1A2B3C8C" w14:textId="77777777" w:rsidR="00A1B2C3" w:rsidRDefault="00A1B2C3">
            <w:r w:rsidRPr="00C4D5E6">
              <w:rPr>
                <w:rFonts w:ascii="Times New Roman" w:hAnsi="Times New Roman" w:eastAsia="宋体"/>
                <w:sz w:val="24"/>
                <w:szCs w:val="24"/>
              </w:rPr>
              <w:t xml:space="preserve">–</w:t>
            </w:r>
          </w:p>
        </w:tc>
        <w:tc>
          <w:tcPr>
            <w:tcW w:w="900" w:type="dxa"/>
          </w:tcPr>
          <w:p w14:paraId="1A2B3C8D" w14:textId="77777777" w:rsidR="00A1B2C3" w:rsidRDefault="00A1B2C3">
            <w:r w:rsidRPr="00C4D5E6">
              <w:rPr>
                <w:rFonts w:ascii="Times New Roman" w:hAnsi="Times New Roman" w:eastAsia="宋体"/>
                <w:sz w:val="24"/>
                <w:szCs w:val="24"/>
              </w:rPr>
              <w:t xml:space="preserve">4</w:t>
            </w:r>
          </w:p>
        </w:tc>
      </w:tr>
      <w:tr>
        <w:tc>
          <w:tcPr>
            <w:tcW w:w="900" w:type="dxa"/>
          </w:tcPr>
          <w:p w14:paraId="1A2B3C8E" w14:textId="77777777" w:rsidR="00A1B2C3" w:rsidRDefault="00A1B2C3">
            <w:r w:rsidRPr="00C4D5E6">
              <w:rPr>
                <w:rFonts w:ascii="Times New Roman" w:hAnsi="Times New Roman" w:eastAsia="宋体"/>
                <w:sz w:val="24"/>
                <w:szCs w:val="24"/>
              </w:rPr>
              <w:t xml:space="preserve">Zhang et al. ([20])</w:t>
            </w:r>
          </w:p>
        </w:tc>
        <w:tc>
          <w:tcPr>
            <w:tcW w:w="900" w:type="dxa"/>
          </w:tcPr>
          <w:p w14:paraId="1A2B3C8F" w14:textId="77777777" w:rsidR="00A1B2C3" w:rsidRDefault="00A1B2C3">
            <w:r w:rsidRPr="00C4D5E6">
              <w:rPr>
                <w:rFonts w:ascii="Times New Roman" w:hAnsi="Times New Roman" w:eastAsia="宋体"/>
                <w:sz w:val="24"/>
                <w:szCs w:val="24"/>
              </w:rPr>
              <w:t xml:space="preserve">2020</w:t>
            </w:r>
          </w:p>
        </w:tc>
        <w:tc>
          <w:tcPr>
            <w:tcW w:w="900" w:type="dxa"/>
          </w:tcPr>
          <w:p w14:paraId="1A2B3C90" w14:textId="77777777" w:rsidR="00A1B2C3" w:rsidRDefault="00A1B2C3">
            <w:r w:rsidRPr="00C4D5E6">
              <w:rPr>
                <w:rFonts w:ascii="Times New Roman" w:hAnsi="Times New Roman" w:eastAsia="宋体"/>
                <w:sz w:val="24"/>
                <w:szCs w:val="24"/>
              </w:rPr>
              <w:t xml:space="preserve">I–III</w:t>
            </w:r>
          </w:p>
        </w:tc>
        <w:tc>
          <w:tcPr>
            <w:tcW w:w="900" w:type="dxa"/>
          </w:tcPr>
          <w:p w14:paraId="1A2B3C91" w14:textId="77777777" w:rsidR="00A1B2C3" w:rsidRDefault="00A1B2C3">
            <w:r w:rsidRPr="00C4D5E6">
              <w:rPr>
                <w:rFonts w:ascii="Times New Roman" w:hAnsi="Times New Roman" w:eastAsia="宋体"/>
                <w:sz w:val="24"/>
                <w:szCs w:val="24"/>
              </w:rPr>
              <w:t xml:space="preserve">222/0</w:t>
            </w:r>
          </w:p>
        </w:tc>
        <w:tc>
          <w:tcPr>
            <w:tcW w:w="900" w:type="dxa"/>
          </w:tcPr>
          <w:p w14:paraId="1A2B3C92" w14:textId="77777777" w:rsidR="00A1B2C3" w:rsidRDefault="00A1B2C3">
            <w:r w:rsidRPr="00C4D5E6">
              <w:rPr>
                <w:rFonts w:ascii="Times New Roman" w:hAnsi="Times New Roman" w:eastAsia="宋体"/>
                <w:sz w:val="24"/>
                <w:szCs w:val="24"/>
              </w:rPr>
              <w:t xml:space="preserve">113/109</w:t>
            </w:r>
          </w:p>
        </w:tc>
        <w:tc>
          <w:tcPr>
            <w:tcW w:w="900" w:type="dxa"/>
          </w:tcPr>
          <w:p w14:paraId="1A2B3C93" w14:textId="77777777" w:rsidR="00A1B2C3" w:rsidRDefault="00A1B2C3">
            <w:r w:rsidRPr="00C4D5E6">
              <w:rPr>
                <w:rFonts w:ascii="Times New Roman" w:hAnsi="Times New Roman" w:eastAsia="宋体"/>
                <w:sz w:val="24"/>
                <w:szCs w:val="24"/>
              </w:rPr>
              <w:t xml:space="preserve">50.4–66</w:t>
            </w:r>
          </w:p>
        </w:tc>
        <w:tc>
          <w:tcPr>
            <w:tcW w:w="900" w:type="dxa"/>
          </w:tcPr>
          <w:p w14:paraId="1A2B3C94" w14:textId="77777777" w:rsidR="00A1B2C3" w:rsidRDefault="00A1B2C3">
            <w:r w:rsidRPr="00C4D5E6">
              <w:rPr>
                <w:rFonts w:ascii="Times New Roman" w:hAnsi="Times New Roman" w:eastAsia="宋体"/>
                <w:sz w:val="24"/>
                <w:szCs w:val="24"/>
              </w:rPr>
              <w:t xml:space="preserve">LFP/PF/TP</w:t>
            </w:r>
          </w:p>
        </w:tc>
        <w:tc>
          <w:tcPr>
            <w:tcW w:w="900" w:type="dxa"/>
          </w:tcPr>
          <w:p w14:paraId="1A2B3C95" w14:textId="77777777" w:rsidR="00A1B2C3" w:rsidRDefault="00A1B2C3">
            <w:r w:rsidRPr="00C4D5E6">
              <w:rPr>
                <w:rFonts w:ascii="Times New Roman" w:hAnsi="Times New Roman" w:eastAsia="宋体"/>
                <w:sz w:val="24"/>
                <w:szCs w:val="24"/>
              </w:rPr>
              <w:t xml:space="preserve">LFP/PF/TP</w:t>
            </w:r>
          </w:p>
        </w:tc>
        <w:tc>
          <w:tcPr>
            <w:tcW w:w="900" w:type="dxa"/>
          </w:tcPr>
          <w:p w14:paraId="1A2B3C96" w14:textId="77777777" w:rsidR="00A1B2C3" w:rsidRDefault="00A1B2C3">
            <w:r w:rsidRPr="00C4D5E6">
              <w:rPr>
                <w:rFonts w:ascii="Times New Roman" w:hAnsi="Times New Roman" w:eastAsia="宋体"/>
                <w:sz w:val="24"/>
                <w:szCs w:val="24"/>
              </w:rPr>
              <w:t xml:space="preserve">1–4</w:t>
            </w:r>
          </w:p>
        </w:tc>
        <w:tc>
          <w:tcPr>
            <w:tcW w:w="900" w:type="dxa"/>
          </w:tcPr>
          <w:p w14:paraId="1A2B3C97" w14:textId="77777777" w:rsidR="00A1B2C3" w:rsidRDefault="00A1B2C3">
            <w:r w:rsidRPr="00C4D5E6">
              <w:rPr>
                <w:rFonts w:ascii="Times New Roman" w:hAnsi="Times New Roman" w:eastAsia="宋体"/>
                <w:sz w:val="24"/>
                <w:szCs w:val="24"/>
              </w:rPr>
              <w:t xml:space="preserve">4</w:t>
            </w:r>
          </w:p>
        </w:tc>
      </w:tr>
    </w:tbl>
    <w:p w14:paraId="1A2B3C98" w14:textId="77777777" w:rsidR="00A1B2C3" w:rsidRDefault="00A1B2C3">
      <w:pPr>
        <w:spacing w:line="480" w:lineRule="auto"/>
        <w:ind w:firstLine="480"/>
        <w:jc w:val="both"/>
      </w:pPr>
      <w:r w:rsidRPr="00C4D5E6">
        <w:rPr>
          <w:i/>
          <w:rFonts w:ascii="Times New Roman" w:hAnsi="Times New Roman" w:eastAsia="宋体"/>
          <w:sz w:val="24"/>
          <w:szCs w:val="24"/>
        </w:rPr>
        <w:t xml:space="preserve">ESCC, esophageal squamous cell carcinoma; EAC, esophageal adenocarcinoma; P, cisplatin; F, fluorouracil; PF, cisplatin plus fluorouracil; DP, docetaxel plus cisplatin; ND, nedaplatin plus cisplatin; PP, paclitaxel plus cisplatin; LFP, cisplatin plus 5-fluorouracil plus calcium folinate; TP, cisplatin plus paclitaxel; m, months; CCT, consolidation chemotherapy; CCRT, concurrent chemoradiotherapy.</w:t>
      </w:r>
    </w:p>
    <w:p w14:paraId="1A2B3C99" w14:textId="77777777" w:rsidR="00A1B2C3" w:rsidRDefault="00A1B2C3">
      <w:pPr>
        <w:pStyle w:val="Heading3"/>
      </w:pPr>
      <w:r w:rsidRPr="00C4D5E6">
        <w:rPr>
          <w:rFonts w:ascii="Times New Roman" w:hAnsi="Times New Roman" w:eastAsia="宋体"/>
          <w:sz w:val="24"/>
          <w:szCs w:val="24"/>
        </w:rPr>
        <w:t xml:space="preserve">Outcome Data</w:t>
      </w:r>
    </w:p>
    <w:p w14:paraId="1A2B3C9A" w14:textId="77777777" w:rsidR="00A1B2C3" w:rsidRDefault="00A1B2C3">
      <w:pPr>
        <w:pStyle w:val="Heading4"/>
      </w:pPr>
      <w:r w:rsidRPr="00C4D5E6">
        <w:rPr>
          <w:rFonts w:ascii="Times New Roman" w:hAnsi="Times New Roman" w:eastAsia="宋体"/>
          <w:sz w:val="24"/>
          <w:szCs w:val="24"/>
        </w:rPr>
        <w:t xml:space="preserve">Induction Chemotherapy Followed by Concurrent Chemoradiotherapy vs. Concurrent Chemoradiotherapy</w:t>
      </w:r>
    </w:p>
    <w:p w14:paraId="1A2B3C9B" w14:textId="77777777" w:rsidR="00A1B2C3" w:rsidRDefault="00A1B2C3">
      <w:pPr>
        <w:spacing w:line="480" w:lineRule="auto"/>
        <w:ind w:firstLine="480"/>
        <w:jc w:val="both"/>
      </w:pPr>
      <w:r w:rsidRPr="00C4D5E6">
        <w:rPr>
          <w:rFonts w:ascii="Times New Roman" w:hAnsi="Times New Roman" w:eastAsia="宋体"/>
          <w:sz w:val="24"/>
          <w:szCs w:val="24"/>
        </w:rPr>
        <w:t xml:space="preserve">Data regarding 1-year and 2-year OS rate were available in the three studies with 726 patients ([6], [12], [13]). The 1-year OS rate was significantly higher in patients who were treated with IC-CCRT (HR 0.445, 95% CI 0.286–0.693; p &lt; 0.001; </w:t>
      </w:r>
      <w:r w:rsidRPr="00C4D5E6">
        <w:rPr>
          <w:b/>
          <w:rFonts w:ascii="Times New Roman" w:hAnsi="Times New Roman" w:eastAsia="宋体"/>
          <w:sz w:val="24"/>
          <w:szCs w:val="24"/>
        </w:rPr>
        <w:t xml:space="preserve">Figure 2</w:t>
      </w:r>
      <w:r w:rsidRPr="00C4D5E6">
        <w:rPr>
          <w:rFonts w:ascii="Times New Roman" w:hAnsi="Times New Roman" w:eastAsia="宋体"/>
          <w:sz w:val="24"/>
          <w:szCs w:val="24"/>
        </w:rPr>
        <w:t xml:space="preserve">). In addition, three studies analyzed 3-year OS rate of the two groups ([12]–[14]). There was no significant difference in 2-year OS rate (HR 0.803, 95% CI 0.589–1.095; p = 0.166; </w:t>
      </w:r>
      <w:r w:rsidRPr="00C4D5E6">
        <w:rPr>
          <w:b/>
          <w:rFonts w:ascii="Times New Roman" w:hAnsi="Times New Roman" w:eastAsia="宋体"/>
          <w:sz w:val="24"/>
          <w:szCs w:val="24"/>
        </w:rPr>
        <w:t xml:space="preserve">Figure 2</w:t>
      </w:r>
      <w:r w:rsidRPr="00C4D5E6">
        <w:rPr>
          <w:rFonts w:ascii="Times New Roman" w:hAnsi="Times New Roman" w:eastAsia="宋体"/>
          <w:sz w:val="24"/>
          <w:szCs w:val="24"/>
        </w:rPr>
        <w:t xml:space="preserve">) and 3-year OS rate (HR 1.065, 95% CI 0.789–1.439; p = 0.680; </w:t>
      </w:r>
      <w:r w:rsidRPr="00C4D5E6">
        <w:rPr>
          <w:b/>
          <w:rFonts w:ascii="Times New Roman" w:hAnsi="Times New Roman" w:eastAsia="宋体"/>
          <w:sz w:val="24"/>
          <w:szCs w:val="24"/>
        </w:rPr>
        <w:t xml:space="preserve">Figure 2</w:t>
      </w:r>
      <w:r w:rsidRPr="00C4D5E6">
        <w:rPr>
          <w:rFonts w:ascii="Times New Roman" w:hAnsi="Times New Roman" w:eastAsia="宋体"/>
          <w:sz w:val="24"/>
          <w:szCs w:val="24"/>
        </w:rPr>
        <w:t xml:space="preserve">) between the two groups.</w:t>
      </w:r>
    </w:p>
    <w:p w14:paraId="1A2B3C9C" w14:textId="77777777" w:rsidR="00A1B2C3" w:rsidRDefault="00A1B2C3">
      <w:pPr>
        <w:spacing w:line="480" w:lineRule="auto"/>
        <w:ind w:firstLine="480"/>
        <w:jc w:val="both"/>
      </w:pPr>
      <w:r w:rsidRPr="00C4D5E6">
        <w:rPr>
          <w:b/>
          <w:rFonts w:ascii="Times New Roman" w:hAnsi="Times New Roman" w:eastAsia="宋体"/>
          <w:sz w:val="24"/>
          <w:szCs w:val="24"/>
        </w:rPr>
        <w:t xml:space="preserve">Figure 2.</w:t>
      </w:r>
      <w:r w:rsidRPr="00C4D5E6">
        <w:rPr>
          <w:rFonts w:ascii="Times New Roman" w:hAnsi="Times New Roman" w:eastAsia="宋体"/>
          <w:sz w:val="24"/>
          <w:szCs w:val="24"/>
        </w:rPr>
        <w:t xml:space="preserve"> Effects of IC-CCRT vs. CCRT alone on 1-, 2-, and 3-year OS. IC-CCRT, induction chemotherapy followed by concurrent chemoradiotherapy; CCRT, concurrent chemoradiotherapy; OS, overall survival; CI, confidence interval; ES, effect size.</w:t>
      </w:r>
    </w:p>
    <w:p w14:paraId="1A2B3C9D" w14:textId="77777777" w:rsidR="00A1B2C3" w:rsidRDefault="00A1B2C3">
      <w:pPr>
        <w:pStyle w:val="Heading4"/>
      </w:pPr>
      <w:r w:rsidRPr="00C4D5E6">
        <w:rPr>
          <w:rFonts w:ascii="Times New Roman" w:hAnsi="Times New Roman" w:eastAsia="宋体"/>
          <w:sz w:val="24"/>
          <w:szCs w:val="24"/>
        </w:rPr>
        <w:t xml:space="preserve">Concurrent Chemoradiotherapy Followed by Consolidation Chemotherapy vs. Concurrent Chemoradiotherapy</w:t>
      </w:r>
    </w:p>
    <w:p w14:paraId="1A2B3C9E" w14:textId="77777777" w:rsidR="00A1B2C3" w:rsidRDefault="00A1B2C3">
      <w:pPr>
        <w:spacing w:line="480" w:lineRule="auto"/>
        <w:ind w:firstLine="480"/>
        <w:jc w:val="both"/>
      </w:pPr>
      <w:r w:rsidRPr="00C4D5E6">
        <w:rPr>
          <w:rFonts w:ascii="Times New Roman" w:hAnsi="Times New Roman" w:eastAsia="宋体"/>
          <w:sz w:val="24"/>
          <w:szCs w:val="24"/>
        </w:rPr>
        <w:t xml:space="preserve">The six studies with 1,339 patients all reported 1- and 3-year OS rates of the CCRT-CCT group and CCRT group ([15]–[20]). Four articles reported 2-year OS rate of the two groups ([15]–[17], [19]). Four studies ([16]–[18], [20]) analyzed 5-year OS rate, and three studies ([15]–[17]) analyzed LRR and DMR of the two groups.</w:t>
      </w:r>
    </w:p>
    <w:p w14:paraId="1A2B3C9F" w14:textId="77777777" w:rsidR="00A1B2C3" w:rsidRDefault="00A1B2C3">
      <w:pPr>
        <w:spacing w:line="480" w:lineRule="auto"/>
        <w:ind w:firstLine="480"/>
        <w:jc w:val="both"/>
      </w:pPr>
      <w:r w:rsidRPr="00C4D5E6">
        <w:rPr>
          <w:rFonts w:ascii="Times New Roman" w:hAnsi="Times New Roman" w:eastAsia="宋体"/>
          <w:sz w:val="24"/>
          <w:szCs w:val="24"/>
        </w:rPr>
        <w:t xml:space="preserve">CCRT-CCT group had a significant advantage over the CCRT group in 1-year OS rate (HR 0.542, 95% CI 0.410–0.716; p &lt; 0.001; </w:t>
      </w:r>
      <w:r w:rsidRPr="00C4D5E6">
        <w:rPr>
          <w:b/>
          <w:rFonts w:ascii="Times New Roman" w:hAnsi="Times New Roman" w:eastAsia="宋体"/>
          <w:sz w:val="24"/>
          <w:szCs w:val="24"/>
        </w:rPr>
        <w:t xml:space="preserve">Figure 3</w:t>
      </w:r>
      <w:r w:rsidRPr="00C4D5E6">
        <w:rPr>
          <w:rFonts w:ascii="Times New Roman" w:hAnsi="Times New Roman" w:eastAsia="宋体"/>
          <w:sz w:val="24"/>
          <w:szCs w:val="24"/>
        </w:rPr>
        <w:t xml:space="preserve">) and 3-year OS rate (HR 0.786, 95% CI 0.625–0.987; p = 0.039; </w:t>
      </w:r>
      <w:r w:rsidRPr="00C4D5E6">
        <w:rPr>
          <w:b/>
          <w:rFonts w:ascii="Times New Roman" w:hAnsi="Times New Roman" w:eastAsia="宋体"/>
          <w:sz w:val="24"/>
          <w:szCs w:val="24"/>
        </w:rPr>
        <w:t xml:space="preserve">Figure 3</w:t>
      </w:r>
      <w:r w:rsidRPr="00C4D5E6">
        <w:rPr>
          <w:rFonts w:ascii="Times New Roman" w:hAnsi="Times New Roman" w:eastAsia="宋体"/>
          <w:sz w:val="24"/>
          <w:szCs w:val="24"/>
        </w:rPr>
        <w:t xml:space="preserve">). The CCRT-CCT group had lower DMR (OR 1.562, 95% CI 1.090–2.240; p = 0.015; </w:t>
      </w:r>
      <w:r w:rsidRPr="00C4D5E6">
        <w:rPr>
          <w:b/>
          <w:rFonts w:ascii="Times New Roman" w:hAnsi="Times New Roman" w:eastAsia="宋体"/>
          <w:sz w:val="24"/>
          <w:szCs w:val="24"/>
        </w:rPr>
        <w:t xml:space="preserve">Figure 4</w:t>
      </w:r>
      <w:r w:rsidRPr="00C4D5E6">
        <w:rPr>
          <w:rFonts w:ascii="Times New Roman" w:hAnsi="Times New Roman" w:eastAsia="宋体"/>
          <w:sz w:val="24"/>
          <w:szCs w:val="24"/>
        </w:rPr>
        <w:t xml:space="preserve">). However, no differences were seen between the two groups in 2-year OS rate (HR 0.783, 95% CI 0.600–1.022; p = 0.072; </w:t>
      </w:r>
      <w:r w:rsidRPr="00C4D5E6">
        <w:rPr>
          <w:b/>
          <w:rFonts w:ascii="Times New Roman" w:hAnsi="Times New Roman" w:eastAsia="宋体"/>
          <w:sz w:val="24"/>
          <w:szCs w:val="24"/>
        </w:rPr>
        <w:t xml:space="preserve">Figure 3</w:t>
      </w:r>
      <w:r w:rsidRPr="00C4D5E6">
        <w:rPr>
          <w:rFonts w:ascii="Times New Roman" w:hAnsi="Times New Roman" w:eastAsia="宋体"/>
          <w:sz w:val="24"/>
          <w:szCs w:val="24"/>
        </w:rPr>
        <w:t xml:space="preserve">), 5-year OS rate (HR 0.923, 95% CI 0.706–1.205; p = 0.555; </w:t>
      </w:r>
      <w:r w:rsidRPr="00C4D5E6">
        <w:rPr>
          <w:b/>
          <w:rFonts w:ascii="Times New Roman" w:hAnsi="Times New Roman" w:eastAsia="宋体"/>
          <w:sz w:val="24"/>
          <w:szCs w:val="24"/>
        </w:rPr>
        <w:t xml:space="preserve">Figure 3</w:t>
      </w:r>
      <w:r w:rsidRPr="00C4D5E6">
        <w:rPr>
          <w:rFonts w:ascii="Times New Roman" w:hAnsi="Times New Roman" w:eastAsia="宋体"/>
          <w:sz w:val="24"/>
          <w:szCs w:val="24"/>
        </w:rPr>
        <w:t xml:space="preserve">), and LRR (OR 0.899, 95% CI 0.686–1.179; p = 0.441; </w:t>
      </w:r>
      <w:r w:rsidRPr="00C4D5E6">
        <w:rPr>
          <w:b/>
          <w:rFonts w:ascii="Times New Roman" w:hAnsi="Times New Roman" w:eastAsia="宋体"/>
          <w:sz w:val="24"/>
          <w:szCs w:val="24"/>
        </w:rPr>
        <w:t xml:space="preserve">Figure 4</w:t>
      </w:r>
      <w:r w:rsidRPr="00C4D5E6">
        <w:rPr>
          <w:rFonts w:ascii="Times New Roman" w:hAnsi="Times New Roman" w:eastAsia="宋体"/>
          <w:sz w:val="24"/>
          <w:szCs w:val="24"/>
        </w:rPr>
        <w:t xml:space="preserve">).</w:t>
      </w:r>
    </w:p>
    <w:p w14:paraId="1A2B3CA0" w14:textId="77777777" w:rsidR="00A1B2C3" w:rsidRDefault="00A1B2C3">
      <w:pPr>
        <w:spacing w:line="480" w:lineRule="auto"/>
        <w:ind w:firstLine="480"/>
        <w:jc w:val="both"/>
      </w:pPr>
      <w:r w:rsidRPr="00C4D5E6">
        <w:rPr>
          <w:b/>
          <w:rFonts w:ascii="Times New Roman" w:hAnsi="Times New Roman" w:eastAsia="宋体"/>
          <w:sz w:val="24"/>
          <w:szCs w:val="24"/>
        </w:rPr>
        <w:t xml:space="preserve">Figure 3.</w:t>
      </w:r>
      <w:r w:rsidRPr="00C4D5E6">
        <w:rPr>
          <w:rFonts w:ascii="Times New Roman" w:hAnsi="Times New Roman" w:eastAsia="宋体"/>
          <w:sz w:val="24"/>
          <w:szCs w:val="24"/>
        </w:rPr>
        <w:t xml:space="preserve"> Effects of CCRT-CCT vs. CCRT alone on 1-, 2-, 3-, and 5-year OS. CCRT-CCT, concurrent chemoradiotherapy followed by consolidation chemotherapy; CCRT, concurrent chemoradiotherapy; OS, overall survival; CI, confidence interval; ES, effect size.</w:t>
      </w:r>
    </w:p>
    <w:p w14:paraId="1A2B3CA1" w14:textId="77777777" w:rsidR="00A1B2C3" w:rsidRDefault="00A1B2C3">
      <w:pPr>
        <w:spacing w:line="480" w:lineRule="auto"/>
        <w:ind w:firstLine="480"/>
        <w:jc w:val="both"/>
      </w:pPr>
      <w:r w:rsidRPr="00C4D5E6">
        <w:rPr>
          <w:b/>
          <w:rFonts w:ascii="Times New Roman" w:hAnsi="Times New Roman" w:eastAsia="宋体"/>
          <w:sz w:val="24"/>
          <w:szCs w:val="24"/>
        </w:rPr>
        <w:t xml:space="preserve">Figure 4.</w:t>
      </w:r>
      <w:r w:rsidRPr="00C4D5E6">
        <w:rPr>
          <w:rFonts w:ascii="Times New Roman" w:hAnsi="Times New Roman" w:eastAsia="宋体"/>
          <w:sz w:val="24"/>
          <w:szCs w:val="24"/>
        </w:rPr>
        <w:t xml:space="preserve"> Effects of CCRT-CCT vs. CCRT alone on local recurrence rate and distant metastasis rate. CCRT-CCT, concurrent chemoradiotherapy followed by consolidation chemotherapy; CCRT, concurrent chemoradiotherapy; CI, confidence interval; OR, odds ratio.</w:t>
      </w:r>
    </w:p>
    <w:p w14:paraId="1A2B3CA2" w14:textId="77777777" w:rsidR="00A1B2C3" w:rsidRDefault="00A1B2C3">
      <w:pPr>
        <w:pStyle w:val="Heading3"/>
      </w:pPr>
      <w:r w:rsidRPr="00C4D5E6">
        <w:rPr>
          <w:rFonts w:ascii="Times New Roman" w:hAnsi="Times New Roman" w:eastAsia="宋体"/>
          <w:sz w:val="24"/>
          <w:szCs w:val="24"/>
        </w:rPr>
        <w:t xml:space="preserve">Sensitivity Analysis</w:t>
      </w:r>
    </w:p>
    <w:p w14:paraId="1A2B3CA3" w14:textId="77777777" w:rsidR="00A1B2C3" w:rsidRDefault="00A1B2C3">
      <w:pPr>
        <w:spacing w:line="480" w:lineRule="auto"/>
        <w:ind w:firstLine="480"/>
        <w:jc w:val="both"/>
      </w:pPr>
      <w:r w:rsidRPr="00C4D5E6">
        <w:rPr>
          <w:rFonts w:ascii="Times New Roman" w:hAnsi="Times New Roman" w:eastAsia="宋体"/>
          <w:sz w:val="24"/>
          <w:szCs w:val="24"/>
        </w:rPr>
        <w:t xml:space="preserve">Sensitivity analysis showed that the new combined HR/OR was similar with the original HR/OR (</w:t>
      </w:r>
      <w:r w:rsidRPr="00C4D5E6">
        <w:rPr>
          <w:b/>
          <w:rFonts w:ascii="Times New Roman" w:hAnsi="Times New Roman" w:eastAsia="宋体"/>
          <w:sz w:val="24"/>
          <w:szCs w:val="24"/>
        </w:rPr>
        <w:t xml:space="preserve">Tables 3</w:t>
      </w:r>
      <w:r w:rsidRPr="00C4D5E6">
        <w:rPr>
          <w:rFonts w:ascii="Times New Roman" w:hAnsi="Times New Roman" w:eastAsia="宋体"/>
          <w:sz w:val="24"/>
          <w:szCs w:val="24"/>
        </w:rPr>
        <w:t xml:space="preserve">, </w:t>
      </w:r>
      <w:r w:rsidRPr="00C4D5E6">
        <w:rPr>
          <w:b/>
          <w:rFonts w:ascii="Times New Roman" w:hAnsi="Times New Roman" w:eastAsia="宋体"/>
          <w:sz w:val="24"/>
          <w:szCs w:val="24"/>
        </w:rPr>
        <w:t xml:space="preserve">4</w:t>
      </w:r>
      <w:r w:rsidRPr="00C4D5E6">
        <w:rPr>
          <w:rFonts w:ascii="Times New Roman" w:hAnsi="Times New Roman" w:eastAsia="宋体"/>
          <w:sz w:val="24"/>
          <w:szCs w:val="24"/>
        </w:rPr>
        <w:t xml:space="preserve">).</w:t>
      </w:r>
    </w:p>
    <w:p w14:paraId="1A2B3CA4" w14:textId="77777777" w:rsidR="00A1B2C3" w:rsidRDefault="00A1B2C3">
      <w:pPr>
        <w:spacing w:line="480" w:lineRule="auto"/>
        <w:ind w:firstLine="480"/>
        <w:jc w:val="both"/>
      </w:pPr>
      <w:r w:rsidRPr="00C4D5E6">
        <w:rPr>
          <w:b/>
          <w:rFonts w:ascii="Times New Roman" w:hAnsi="Times New Roman" w:eastAsia="宋体"/>
          <w:sz w:val="24"/>
          <w:szCs w:val="24"/>
        </w:rPr>
        <w:t xml:space="preserve">Table 3.</w:t>
      </w:r>
      <w:r w:rsidRPr="00C4D5E6">
        <w:rPr>
          <w:rFonts w:ascii="Times New Roman" w:hAnsi="Times New Roman" w:eastAsia="宋体"/>
          <w:sz w:val="24"/>
          <w:szCs w:val="24"/>
        </w:rPr>
        <w:t xml:space="preserve"> Sensitivity analysis for 1-, 2-, and 3-year OS rate (IC-CCRT vs. CCRT group).</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1800"/>
        <w:gridCol w:w="1800"/>
        <w:gridCol w:w="1800"/>
        <w:gridCol w:w="1800"/>
        <w:gridCol w:w="1800"/>
      </w:tblGrid>
      <w:tr>
        <w:trPr>
          <w:tblHeader/>
        </w:trPr>
        <w:tc>
          <w:tcPr>
            <w:tcW w:w="1800" w:type="dxa"/>
          </w:tcPr>
          <w:p w14:paraId="1A2B3CA5" w14:textId="77777777" w:rsidR="00A1B2C3" w:rsidRDefault="00A1B2C3">
            <w:r w:rsidRPr="00C4D5E6">
              <w:rPr>
                <w:rFonts w:ascii="Times New Roman" w:hAnsi="Times New Roman" w:eastAsia="宋体"/>
                <w:sz w:val="24"/>
                <w:szCs w:val="24"/>
              </w:rPr>
              <w:t xml:space="preserve">Items</w:t>
            </w:r>
          </w:p>
        </w:tc>
        <w:tc>
          <w:tcPr>
            <w:tcW w:w="1800" w:type="dxa"/>
          </w:tcPr>
          <w:p w14:paraId="1A2B3CA6" w14:textId="77777777" w:rsidR="00A1B2C3" w:rsidRDefault="00A1B2C3">
            <w:r w:rsidRPr="00C4D5E6">
              <w:rPr>
                <w:rFonts w:ascii="Times New Roman" w:hAnsi="Times New Roman" w:eastAsia="宋体"/>
                <w:sz w:val="24"/>
                <w:szCs w:val="24"/>
              </w:rPr>
              <w:t xml:space="preserve">Study omitted</w:t>
            </w:r>
          </w:p>
        </w:tc>
        <w:tc>
          <w:tcPr>
            <w:tcW w:w="1800" w:type="dxa"/>
          </w:tcPr>
          <w:p w14:paraId="1A2B3CA7" w14:textId="77777777" w:rsidR="00A1B2C3" w:rsidRDefault="00A1B2C3">
            <w:r w:rsidRPr="00C4D5E6">
              <w:rPr>
                <w:rFonts w:ascii="Times New Roman" w:hAnsi="Times New Roman" w:eastAsia="宋体"/>
                <w:sz w:val="24"/>
                <w:szCs w:val="24"/>
              </w:rPr>
              <w:t xml:space="preserve">Estimate</w:t>
            </w:r>
          </w:p>
        </w:tc>
        <w:tc>
          <w:tcPr>
            <w:tcW w:w="1800" w:type="dxa"/>
          </w:tcPr>
          <w:p w14:paraId="1A2B3CA8" w14:textId="77777777" w:rsidR="00A1B2C3" w:rsidRDefault="00A1B2C3">
            <w:r w:rsidRPr="00C4D5E6">
              <w:rPr>
                <w:rFonts w:ascii="Times New Roman" w:hAnsi="Times New Roman" w:eastAsia="宋体"/>
                <w:sz w:val="24"/>
                <w:szCs w:val="24"/>
              </w:rPr>
              <w:t xml:space="preserve">95% CI</w:t>
            </w:r>
          </w:p>
        </w:tc>
        <w:tc>
          <w:tcPr>
            <w:tcW w:w="1800" w:type="dxa"/>
          </w:tcPr>
          <w:p w14:paraId="1A2B3CA9" w14:textId="77777777" w:rsidR="00A1B2C3" w:rsidRDefault="00A1B2C3"/>
        </w:tc>
      </w:tr>
      <w:tr>
        <w:tc>
          <w:tcPr>
            <w:tcW w:w="1800" w:type="dxa"/>
          </w:tcPr>
          <w:p w14:paraId="1A2B3CAA" w14:textId="77777777" w:rsidR="00A1B2C3" w:rsidRDefault="00A1B2C3">
            <w:r w:rsidRPr="00C4D5E6">
              <w:rPr>
                <w:rFonts w:ascii="Times New Roman" w:hAnsi="Times New Roman" w:eastAsia="宋体"/>
                <w:sz w:val="24"/>
                <w:szCs w:val="24"/>
              </w:rPr>
              <w:t xml:space="preserve">One-year OS rate</w:t>
            </w:r>
          </w:p>
        </w:tc>
        <w:tc>
          <w:tcPr>
            <w:tcW w:w="1800" w:type="dxa"/>
          </w:tcPr>
          <w:p w14:paraId="1A2B3CAB" w14:textId="77777777" w:rsidR="00A1B2C3" w:rsidRDefault="00A1B2C3">
            <w:r w:rsidRPr="00C4D5E6">
              <w:rPr>
                <w:rFonts w:ascii="Times New Roman" w:hAnsi="Times New Roman" w:eastAsia="宋体"/>
                <w:sz w:val="24"/>
                <w:szCs w:val="24"/>
              </w:rPr>
              <w:t xml:space="preserve">Chen et al. ([6])</w:t>
            </w:r>
          </w:p>
        </w:tc>
        <w:tc>
          <w:tcPr>
            <w:tcW w:w="1800" w:type="dxa"/>
          </w:tcPr>
          <w:p w14:paraId="1A2B3CAC" w14:textId="77777777" w:rsidR="00A1B2C3" w:rsidRDefault="00A1B2C3">
            <w:r w:rsidRPr="00C4D5E6">
              <w:rPr>
                <w:rFonts w:ascii="Times New Roman" w:hAnsi="Times New Roman" w:eastAsia="宋体"/>
                <w:sz w:val="24"/>
                <w:szCs w:val="24"/>
              </w:rPr>
              <w:t xml:space="preserve">0.525</w:t>
            </w:r>
          </w:p>
        </w:tc>
        <w:tc>
          <w:tcPr>
            <w:tcW w:w="1800" w:type="dxa"/>
          </w:tcPr>
          <w:p w14:paraId="1A2B3CAD" w14:textId="77777777" w:rsidR="00A1B2C3" w:rsidRDefault="00A1B2C3">
            <w:r w:rsidRPr="00C4D5E6">
              <w:rPr>
                <w:rFonts w:ascii="Times New Roman" w:hAnsi="Times New Roman" w:eastAsia="宋体"/>
                <w:sz w:val="24"/>
                <w:szCs w:val="24"/>
              </w:rPr>
              <w:t xml:space="preserve">0.357</w:t>
            </w:r>
          </w:p>
        </w:tc>
        <w:tc>
          <w:tcPr>
            <w:tcW w:w="1800" w:type="dxa"/>
          </w:tcPr>
          <w:p w14:paraId="1A2B3CAE" w14:textId="77777777" w:rsidR="00A1B2C3" w:rsidRDefault="00A1B2C3">
            <w:r w:rsidRPr="00C4D5E6">
              <w:rPr>
                <w:rFonts w:ascii="Times New Roman" w:hAnsi="Times New Roman" w:eastAsia="宋体"/>
                <w:sz w:val="24"/>
                <w:szCs w:val="24"/>
              </w:rPr>
              <w:t xml:space="preserve">0.774</w:t>
            </w:r>
          </w:p>
        </w:tc>
      </w:tr>
      <w:tr>
        <w:tc>
          <w:tcPr>
            <w:tcW w:w="1800" w:type="dxa"/>
          </w:tcPr>
          <w:p w14:paraId="1A2B3CAF" w14:textId="77777777" w:rsidR="00A1B2C3" w:rsidRDefault="00A1B2C3"/>
        </w:tc>
        <w:tc>
          <w:tcPr>
            <w:tcW w:w="1800" w:type="dxa"/>
          </w:tcPr>
          <w:p w14:paraId="1A2B3CB0" w14:textId="77777777" w:rsidR="00A1B2C3" w:rsidRDefault="00A1B2C3">
            <w:r w:rsidRPr="00C4D5E6">
              <w:rPr>
                <w:rFonts w:ascii="Times New Roman" w:hAnsi="Times New Roman" w:eastAsia="宋体"/>
                <w:sz w:val="24"/>
                <w:szCs w:val="24"/>
              </w:rPr>
              <w:t xml:space="preserve">Luo et al. ([12])</w:t>
            </w:r>
          </w:p>
        </w:tc>
        <w:tc>
          <w:tcPr>
            <w:tcW w:w="1800" w:type="dxa"/>
          </w:tcPr>
          <w:p w14:paraId="1A2B3CB1" w14:textId="77777777" w:rsidR="00A1B2C3" w:rsidRDefault="00A1B2C3">
            <w:r w:rsidRPr="00C4D5E6">
              <w:rPr>
                <w:rFonts w:ascii="Times New Roman" w:hAnsi="Times New Roman" w:eastAsia="宋体"/>
                <w:sz w:val="24"/>
                <w:szCs w:val="24"/>
              </w:rPr>
              <w:t xml:space="preserve">0.513</w:t>
            </w:r>
          </w:p>
        </w:tc>
        <w:tc>
          <w:tcPr>
            <w:tcW w:w="1800" w:type="dxa"/>
          </w:tcPr>
          <w:p w14:paraId="1A2B3CB2" w14:textId="77777777" w:rsidR="00A1B2C3" w:rsidRDefault="00A1B2C3">
            <w:r w:rsidRPr="00C4D5E6">
              <w:rPr>
                <w:rFonts w:ascii="Times New Roman" w:hAnsi="Times New Roman" w:eastAsia="宋体"/>
                <w:sz w:val="24"/>
                <w:szCs w:val="24"/>
              </w:rPr>
              <w:t xml:space="preserve">0.318</w:t>
            </w:r>
          </w:p>
        </w:tc>
        <w:tc>
          <w:tcPr>
            <w:tcW w:w="1800" w:type="dxa"/>
          </w:tcPr>
          <w:p w14:paraId="1A2B3CB3" w14:textId="77777777" w:rsidR="00A1B2C3" w:rsidRDefault="00A1B2C3">
            <w:r w:rsidRPr="00C4D5E6">
              <w:rPr>
                <w:rFonts w:ascii="Times New Roman" w:hAnsi="Times New Roman" w:eastAsia="宋体"/>
                <w:sz w:val="24"/>
                <w:szCs w:val="24"/>
              </w:rPr>
              <w:t xml:space="preserve">0.830</w:t>
            </w:r>
          </w:p>
        </w:tc>
      </w:tr>
      <w:tr>
        <w:tc>
          <w:tcPr>
            <w:tcW w:w="1800" w:type="dxa"/>
          </w:tcPr>
          <w:p w14:paraId="1A2B3CB4" w14:textId="77777777" w:rsidR="00A1B2C3" w:rsidRDefault="00A1B2C3"/>
        </w:tc>
        <w:tc>
          <w:tcPr>
            <w:tcW w:w="1800" w:type="dxa"/>
          </w:tcPr>
          <w:p w14:paraId="1A2B3CB5" w14:textId="77777777" w:rsidR="00A1B2C3" w:rsidRDefault="00A1B2C3">
            <w:r w:rsidRPr="00C4D5E6">
              <w:rPr>
                <w:rFonts w:ascii="Times New Roman" w:hAnsi="Times New Roman" w:eastAsia="宋体"/>
                <w:sz w:val="24"/>
                <w:szCs w:val="24"/>
              </w:rPr>
              <w:t xml:space="preserve">Xi et al. ([13])</w:t>
            </w:r>
          </w:p>
        </w:tc>
        <w:tc>
          <w:tcPr>
            <w:tcW w:w="1800" w:type="dxa"/>
          </w:tcPr>
          <w:p w14:paraId="1A2B3CB6" w14:textId="77777777" w:rsidR="00A1B2C3" w:rsidRDefault="00A1B2C3">
            <w:r w:rsidRPr="00C4D5E6">
              <w:rPr>
                <w:rFonts w:ascii="Times New Roman" w:hAnsi="Times New Roman" w:eastAsia="宋体"/>
                <w:sz w:val="24"/>
                <w:szCs w:val="24"/>
              </w:rPr>
              <w:t xml:space="preserve">0.587</w:t>
            </w:r>
          </w:p>
        </w:tc>
        <w:tc>
          <w:tcPr>
            <w:tcW w:w="1800" w:type="dxa"/>
          </w:tcPr>
          <w:p w14:paraId="1A2B3CB7" w14:textId="77777777" w:rsidR="00A1B2C3" w:rsidRDefault="00A1B2C3">
            <w:r w:rsidRPr="00C4D5E6">
              <w:rPr>
                <w:rFonts w:ascii="Times New Roman" w:hAnsi="Times New Roman" w:eastAsia="宋体"/>
                <w:sz w:val="24"/>
                <w:szCs w:val="24"/>
              </w:rPr>
              <w:t xml:space="preserve">0.397</w:t>
            </w:r>
          </w:p>
        </w:tc>
        <w:tc>
          <w:tcPr>
            <w:tcW w:w="1800" w:type="dxa"/>
          </w:tcPr>
          <w:p w14:paraId="1A2B3CB8" w14:textId="77777777" w:rsidR="00A1B2C3" w:rsidRDefault="00A1B2C3">
            <w:r w:rsidRPr="00C4D5E6">
              <w:rPr>
                <w:rFonts w:ascii="Times New Roman" w:hAnsi="Times New Roman" w:eastAsia="宋体"/>
                <w:sz w:val="24"/>
                <w:szCs w:val="24"/>
              </w:rPr>
              <w:t xml:space="preserve">0.869</w:t>
            </w:r>
          </w:p>
        </w:tc>
      </w:tr>
      <w:tr>
        <w:tc>
          <w:tcPr>
            <w:tcW w:w="1800" w:type="dxa"/>
          </w:tcPr>
          <w:p w14:paraId="1A2B3CB9" w14:textId="77777777" w:rsidR="00A1B2C3" w:rsidRDefault="00A1B2C3"/>
        </w:tc>
        <w:tc>
          <w:tcPr>
            <w:tcW w:w="1800" w:type="dxa"/>
          </w:tcPr>
          <w:p w14:paraId="1A2B3CBA" w14:textId="77777777" w:rsidR="00A1B2C3" w:rsidRDefault="00A1B2C3">
            <w:r w:rsidRPr="00C4D5E6">
              <w:rPr>
                <w:rFonts w:ascii="Times New Roman" w:hAnsi="Times New Roman" w:eastAsia="宋体"/>
                <w:sz w:val="24"/>
                <w:szCs w:val="24"/>
              </w:rPr>
              <w:t xml:space="preserve">Combined</w:t>
            </w:r>
          </w:p>
        </w:tc>
        <w:tc>
          <w:tcPr>
            <w:tcW w:w="1800" w:type="dxa"/>
          </w:tcPr>
          <w:p w14:paraId="1A2B3CBB" w14:textId="77777777" w:rsidR="00A1B2C3" w:rsidRDefault="00A1B2C3">
            <w:r w:rsidRPr="00C4D5E6">
              <w:rPr>
                <w:rFonts w:ascii="Times New Roman" w:hAnsi="Times New Roman" w:eastAsia="宋体"/>
                <w:sz w:val="24"/>
                <w:szCs w:val="24"/>
              </w:rPr>
              <w:t xml:space="preserve">0.540</w:t>
            </w:r>
          </w:p>
        </w:tc>
        <w:tc>
          <w:tcPr>
            <w:tcW w:w="1800" w:type="dxa"/>
          </w:tcPr>
          <w:p w14:paraId="1A2B3CBC" w14:textId="77777777" w:rsidR="00A1B2C3" w:rsidRDefault="00A1B2C3">
            <w:r w:rsidRPr="00C4D5E6">
              <w:rPr>
                <w:rFonts w:ascii="Times New Roman" w:hAnsi="Times New Roman" w:eastAsia="宋体"/>
                <w:sz w:val="24"/>
                <w:szCs w:val="24"/>
              </w:rPr>
              <w:t xml:space="preserve">0.384</w:t>
            </w:r>
          </w:p>
        </w:tc>
        <w:tc>
          <w:tcPr>
            <w:tcW w:w="1800" w:type="dxa"/>
          </w:tcPr>
          <w:p w14:paraId="1A2B3CBD" w14:textId="77777777" w:rsidR="00A1B2C3" w:rsidRDefault="00A1B2C3">
            <w:r w:rsidRPr="00C4D5E6">
              <w:rPr>
                <w:rFonts w:ascii="Times New Roman" w:hAnsi="Times New Roman" w:eastAsia="宋体"/>
                <w:sz w:val="24"/>
                <w:szCs w:val="24"/>
              </w:rPr>
              <w:t xml:space="preserve">0.760</w:t>
            </w:r>
          </w:p>
        </w:tc>
      </w:tr>
      <w:tr>
        <w:tc>
          <w:tcPr>
            <w:tcW w:w="1800" w:type="dxa"/>
          </w:tcPr>
          <w:p w14:paraId="1A2B3CBE" w14:textId="77777777" w:rsidR="00A1B2C3" w:rsidRDefault="00A1B2C3">
            <w:r w:rsidRPr="00C4D5E6">
              <w:rPr>
                <w:rFonts w:ascii="Times New Roman" w:hAnsi="Times New Roman" w:eastAsia="宋体"/>
                <w:sz w:val="24"/>
                <w:szCs w:val="24"/>
              </w:rPr>
              <w:t xml:space="preserve">Two-year OS rate</w:t>
            </w:r>
          </w:p>
        </w:tc>
        <w:tc>
          <w:tcPr>
            <w:tcW w:w="1800" w:type="dxa"/>
          </w:tcPr>
          <w:p w14:paraId="1A2B3CBF" w14:textId="77777777" w:rsidR="00A1B2C3" w:rsidRDefault="00A1B2C3">
            <w:r w:rsidRPr="00C4D5E6">
              <w:rPr>
                <w:rFonts w:ascii="Times New Roman" w:hAnsi="Times New Roman" w:eastAsia="宋体"/>
                <w:sz w:val="24"/>
                <w:szCs w:val="24"/>
              </w:rPr>
              <w:t xml:space="preserve">Chen et al. ([6])</w:t>
            </w:r>
          </w:p>
        </w:tc>
        <w:tc>
          <w:tcPr>
            <w:tcW w:w="1800" w:type="dxa"/>
          </w:tcPr>
          <w:p w14:paraId="1A2B3CC0" w14:textId="77777777" w:rsidR="00A1B2C3" w:rsidRDefault="00A1B2C3">
            <w:r w:rsidRPr="00C4D5E6">
              <w:rPr>
                <w:rFonts w:ascii="Times New Roman" w:hAnsi="Times New Roman" w:eastAsia="宋体"/>
                <w:sz w:val="24"/>
                <w:szCs w:val="24"/>
              </w:rPr>
              <w:t xml:space="preserve">0.886</w:t>
            </w:r>
          </w:p>
        </w:tc>
        <w:tc>
          <w:tcPr>
            <w:tcW w:w="1800" w:type="dxa"/>
          </w:tcPr>
          <w:p w14:paraId="1A2B3CC1" w14:textId="77777777" w:rsidR="00A1B2C3" w:rsidRDefault="00A1B2C3">
            <w:r w:rsidRPr="00C4D5E6">
              <w:rPr>
                <w:rFonts w:ascii="Times New Roman" w:hAnsi="Times New Roman" w:eastAsia="宋体"/>
                <w:sz w:val="24"/>
                <w:szCs w:val="24"/>
              </w:rPr>
              <w:t xml:space="preserve">0.737</w:t>
            </w:r>
          </w:p>
        </w:tc>
        <w:tc>
          <w:tcPr>
            <w:tcW w:w="1800" w:type="dxa"/>
          </w:tcPr>
          <w:p w14:paraId="1A2B3CC2" w14:textId="77777777" w:rsidR="00A1B2C3" w:rsidRDefault="00A1B2C3">
            <w:r w:rsidRPr="00C4D5E6">
              <w:rPr>
                <w:rFonts w:ascii="Times New Roman" w:hAnsi="Times New Roman" w:eastAsia="宋体"/>
                <w:sz w:val="24"/>
                <w:szCs w:val="24"/>
              </w:rPr>
              <w:t xml:space="preserve">1.064</w:t>
            </w:r>
          </w:p>
        </w:tc>
      </w:tr>
      <w:tr>
        <w:tc>
          <w:tcPr>
            <w:tcW w:w="1800" w:type="dxa"/>
          </w:tcPr>
          <w:p w14:paraId="1A2B3CC3" w14:textId="77777777" w:rsidR="00A1B2C3" w:rsidRDefault="00A1B2C3"/>
        </w:tc>
        <w:tc>
          <w:tcPr>
            <w:tcW w:w="1800" w:type="dxa"/>
          </w:tcPr>
          <w:p w14:paraId="1A2B3CC4" w14:textId="77777777" w:rsidR="00A1B2C3" w:rsidRDefault="00A1B2C3">
            <w:r w:rsidRPr="00C4D5E6">
              <w:rPr>
                <w:rFonts w:ascii="Times New Roman" w:hAnsi="Times New Roman" w:eastAsia="宋体"/>
                <w:sz w:val="24"/>
                <w:szCs w:val="24"/>
              </w:rPr>
              <w:t xml:space="preserve">Luo et al. ([12])</w:t>
            </w:r>
          </w:p>
        </w:tc>
        <w:tc>
          <w:tcPr>
            <w:tcW w:w="1800" w:type="dxa"/>
          </w:tcPr>
          <w:p w14:paraId="1A2B3CC5" w14:textId="77777777" w:rsidR="00A1B2C3" w:rsidRDefault="00A1B2C3">
            <w:r w:rsidRPr="00C4D5E6">
              <w:rPr>
                <w:rFonts w:ascii="Times New Roman" w:hAnsi="Times New Roman" w:eastAsia="宋体"/>
                <w:sz w:val="24"/>
                <w:szCs w:val="24"/>
              </w:rPr>
              <w:t xml:space="preserve">0.929</w:t>
            </w:r>
          </w:p>
        </w:tc>
        <w:tc>
          <w:tcPr>
            <w:tcW w:w="1800" w:type="dxa"/>
          </w:tcPr>
          <w:p w14:paraId="1A2B3CC6" w14:textId="77777777" w:rsidR="00A1B2C3" w:rsidRDefault="00A1B2C3">
            <w:r w:rsidRPr="00C4D5E6">
              <w:rPr>
                <w:rFonts w:ascii="Times New Roman" w:hAnsi="Times New Roman" w:eastAsia="宋体"/>
                <w:sz w:val="24"/>
                <w:szCs w:val="24"/>
              </w:rPr>
              <w:t xml:space="preserve">0.754</w:t>
            </w:r>
          </w:p>
        </w:tc>
        <w:tc>
          <w:tcPr>
            <w:tcW w:w="1800" w:type="dxa"/>
          </w:tcPr>
          <w:p w14:paraId="1A2B3CC7" w14:textId="77777777" w:rsidR="00A1B2C3" w:rsidRDefault="00A1B2C3">
            <w:r w:rsidRPr="00C4D5E6">
              <w:rPr>
                <w:rFonts w:ascii="Times New Roman" w:hAnsi="Times New Roman" w:eastAsia="宋体"/>
                <w:sz w:val="24"/>
                <w:szCs w:val="24"/>
              </w:rPr>
              <w:t xml:space="preserve">1.143</w:t>
            </w:r>
          </w:p>
        </w:tc>
      </w:tr>
      <w:tr>
        <w:tc>
          <w:tcPr>
            <w:tcW w:w="1800" w:type="dxa"/>
          </w:tcPr>
          <w:p w14:paraId="1A2B3CC8" w14:textId="77777777" w:rsidR="00A1B2C3" w:rsidRDefault="00A1B2C3"/>
        </w:tc>
        <w:tc>
          <w:tcPr>
            <w:tcW w:w="1800" w:type="dxa"/>
          </w:tcPr>
          <w:p w14:paraId="1A2B3CC9" w14:textId="77777777" w:rsidR="00A1B2C3" w:rsidRDefault="00A1B2C3">
            <w:r w:rsidRPr="00C4D5E6">
              <w:rPr>
                <w:rFonts w:ascii="Times New Roman" w:hAnsi="Times New Roman" w:eastAsia="宋体"/>
                <w:sz w:val="24"/>
                <w:szCs w:val="24"/>
              </w:rPr>
              <w:t xml:space="preserve">Xi et al. ([13])</w:t>
            </w:r>
          </w:p>
        </w:tc>
        <w:tc>
          <w:tcPr>
            <w:tcW w:w="1800" w:type="dxa"/>
          </w:tcPr>
          <w:p w14:paraId="1A2B3CCA" w14:textId="77777777" w:rsidR="00A1B2C3" w:rsidRDefault="00A1B2C3">
            <w:r w:rsidRPr="00C4D5E6">
              <w:rPr>
                <w:rFonts w:ascii="Times New Roman" w:hAnsi="Times New Roman" w:eastAsia="宋体"/>
                <w:sz w:val="24"/>
                <w:szCs w:val="24"/>
              </w:rPr>
              <w:t xml:space="preserve">0.811</w:t>
            </w:r>
          </w:p>
        </w:tc>
        <w:tc>
          <w:tcPr>
            <w:tcW w:w="1800" w:type="dxa"/>
          </w:tcPr>
          <w:p w14:paraId="1A2B3CCB" w14:textId="77777777" w:rsidR="00A1B2C3" w:rsidRDefault="00A1B2C3">
            <w:r w:rsidRPr="00C4D5E6">
              <w:rPr>
                <w:rFonts w:ascii="Times New Roman" w:hAnsi="Times New Roman" w:eastAsia="宋体"/>
                <w:sz w:val="24"/>
                <w:szCs w:val="24"/>
              </w:rPr>
              <w:t xml:space="preserve">0.625</w:t>
            </w:r>
          </w:p>
        </w:tc>
        <w:tc>
          <w:tcPr>
            <w:tcW w:w="1800" w:type="dxa"/>
          </w:tcPr>
          <w:p w14:paraId="1A2B3CCC" w14:textId="77777777" w:rsidR="00A1B2C3" w:rsidRDefault="00A1B2C3">
            <w:r w:rsidRPr="00C4D5E6">
              <w:rPr>
                <w:rFonts w:ascii="Times New Roman" w:hAnsi="Times New Roman" w:eastAsia="宋体"/>
                <w:sz w:val="24"/>
                <w:szCs w:val="24"/>
              </w:rPr>
              <w:t xml:space="preserve">1.053</w:t>
            </w:r>
          </w:p>
        </w:tc>
      </w:tr>
      <w:tr>
        <w:tc>
          <w:tcPr>
            <w:tcW w:w="1800" w:type="dxa"/>
          </w:tcPr>
          <w:p w14:paraId="1A2B3CCD" w14:textId="77777777" w:rsidR="00A1B2C3" w:rsidRDefault="00A1B2C3"/>
        </w:tc>
        <w:tc>
          <w:tcPr>
            <w:tcW w:w="1800" w:type="dxa"/>
          </w:tcPr>
          <w:p w14:paraId="1A2B3CCE" w14:textId="77777777" w:rsidR="00A1B2C3" w:rsidRDefault="00A1B2C3">
            <w:r w:rsidRPr="00C4D5E6">
              <w:rPr>
                <w:rFonts w:ascii="Times New Roman" w:hAnsi="Times New Roman" w:eastAsia="宋体"/>
                <w:sz w:val="24"/>
                <w:szCs w:val="24"/>
              </w:rPr>
              <w:t xml:space="preserve">Combined</w:t>
            </w:r>
          </w:p>
        </w:tc>
        <w:tc>
          <w:tcPr>
            <w:tcW w:w="1800" w:type="dxa"/>
          </w:tcPr>
          <w:p w14:paraId="1A2B3CCF" w14:textId="77777777" w:rsidR="00A1B2C3" w:rsidRDefault="00A1B2C3">
            <w:r w:rsidRPr="00C4D5E6">
              <w:rPr>
                <w:rFonts w:ascii="Times New Roman" w:hAnsi="Times New Roman" w:eastAsia="宋体"/>
                <w:sz w:val="24"/>
                <w:szCs w:val="24"/>
              </w:rPr>
              <w:t xml:space="preserve">0.886</w:t>
            </w:r>
          </w:p>
        </w:tc>
        <w:tc>
          <w:tcPr>
            <w:tcW w:w="1800" w:type="dxa"/>
          </w:tcPr>
          <w:p w14:paraId="1A2B3CD0" w14:textId="77777777" w:rsidR="00A1B2C3" w:rsidRDefault="00A1B2C3">
            <w:r w:rsidRPr="00C4D5E6">
              <w:rPr>
                <w:rFonts w:ascii="Times New Roman" w:hAnsi="Times New Roman" w:eastAsia="宋体"/>
                <w:sz w:val="24"/>
                <w:szCs w:val="24"/>
              </w:rPr>
              <w:t xml:space="preserve">0.745</w:t>
            </w:r>
          </w:p>
        </w:tc>
        <w:tc>
          <w:tcPr>
            <w:tcW w:w="1800" w:type="dxa"/>
          </w:tcPr>
          <w:p w14:paraId="1A2B3CD1" w14:textId="77777777" w:rsidR="00A1B2C3" w:rsidRDefault="00A1B2C3">
            <w:r w:rsidRPr="00C4D5E6">
              <w:rPr>
                <w:rFonts w:ascii="Times New Roman" w:hAnsi="Times New Roman" w:eastAsia="宋体"/>
                <w:sz w:val="24"/>
                <w:szCs w:val="24"/>
              </w:rPr>
              <w:t xml:space="preserve">1.052</w:t>
            </w:r>
          </w:p>
        </w:tc>
      </w:tr>
      <w:tr>
        <w:tc>
          <w:tcPr>
            <w:tcW w:w="1800" w:type="dxa"/>
          </w:tcPr>
          <w:p w14:paraId="1A2B3CD2" w14:textId="77777777" w:rsidR="00A1B2C3" w:rsidRDefault="00A1B2C3">
            <w:r w:rsidRPr="00C4D5E6">
              <w:rPr>
                <w:rFonts w:ascii="Times New Roman" w:hAnsi="Times New Roman" w:eastAsia="宋体"/>
                <w:sz w:val="24"/>
                <w:szCs w:val="24"/>
              </w:rPr>
              <w:t xml:space="preserve">Three-year OS rate</w:t>
            </w:r>
          </w:p>
        </w:tc>
        <w:tc>
          <w:tcPr>
            <w:tcW w:w="1800" w:type="dxa"/>
          </w:tcPr>
          <w:p w14:paraId="1A2B3CD3" w14:textId="77777777" w:rsidR="00A1B2C3" w:rsidRDefault="00A1B2C3">
            <w:r w:rsidRPr="00C4D5E6">
              <w:rPr>
                <w:rFonts w:ascii="Times New Roman" w:hAnsi="Times New Roman" w:eastAsia="宋体"/>
                <w:sz w:val="24"/>
                <w:szCs w:val="24"/>
              </w:rPr>
              <w:t xml:space="preserve">Luo et al. ([12])</w:t>
            </w:r>
          </w:p>
        </w:tc>
        <w:tc>
          <w:tcPr>
            <w:tcW w:w="1800" w:type="dxa"/>
          </w:tcPr>
          <w:p w14:paraId="1A2B3CD4" w14:textId="77777777" w:rsidR="00A1B2C3" w:rsidRDefault="00A1B2C3">
            <w:r w:rsidRPr="00C4D5E6">
              <w:rPr>
                <w:rFonts w:ascii="Times New Roman" w:hAnsi="Times New Roman" w:eastAsia="宋体"/>
                <w:sz w:val="24"/>
                <w:szCs w:val="24"/>
              </w:rPr>
              <w:t xml:space="preserve">1.067</w:t>
            </w:r>
          </w:p>
        </w:tc>
        <w:tc>
          <w:tcPr>
            <w:tcW w:w="1800" w:type="dxa"/>
          </w:tcPr>
          <w:p w14:paraId="1A2B3CD5" w14:textId="77777777" w:rsidR="00A1B2C3" w:rsidRDefault="00A1B2C3">
            <w:r w:rsidRPr="00C4D5E6">
              <w:rPr>
                <w:rFonts w:ascii="Times New Roman" w:hAnsi="Times New Roman" w:eastAsia="宋体"/>
                <w:sz w:val="24"/>
                <w:szCs w:val="24"/>
              </w:rPr>
              <w:t xml:space="preserve">0.914</w:t>
            </w:r>
          </w:p>
        </w:tc>
        <w:tc>
          <w:tcPr>
            <w:tcW w:w="1800" w:type="dxa"/>
          </w:tcPr>
          <w:p w14:paraId="1A2B3CD6" w14:textId="77777777" w:rsidR="00A1B2C3" w:rsidRDefault="00A1B2C3">
            <w:r w:rsidRPr="00C4D5E6">
              <w:rPr>
                <w:rFonts w:ascii="Times New Roman" w:hAnsi="Times New Roman" w:eastAsia="宋体"/>
                <w:sz w:val="24"/>
                <w:szCs w:val="24"/>
              </w:rPr>
              <w:t xml:space="preserve">1.245</w:t>
            </w:r>
          </w:p>
        </w:tc>
      </w:tr>
      <w:tr>
        <w:tc>
          <w:tcPr>
            <w:tcW w:w="1800" w:type="dxa"/>
          </w:tcPr>
          <w:p w14:paraId="1A2B3CD7" w14:textId="77777777" w:rsidR="00A1B2C3" w:rsidRDefault="00A1B2C3"/>
        </w:tc>
        <w:tc>
          <w:tcPr>
            <w:tcW w:w="1800" w:type="dxa"/>
          </w:tcPr>
          <w:p w14:paraId="1A2B3CD8" w14:textId="77777777" w:rsidR="00A1B2C3" w:rsidRDefault="00A1B2C3">
            <w:r w:rsidRPr="00C4D5E6">
              <w:rPr>
                <w:rFonts w:ascii="Times New Roman" w:hAnsi="Times New Roman" w:eastAsia="宋体"/>
                <w:sz w:val="24"/>
                <w:szCs w:val="24"/>
              </w:rPr>
              <w:t xml:space="preserve">Xi et al. ([13])</w:t>
            </w:r>
          </w:p>
        </w:tc>
        <w:tc>
          <w:tcPr>
            <w:tcW w:w="1800" w:type="dxa"/>
          </w:tcPr>
          <w:p w14:paraId="1A2B3CD9" w14:textId="77777777" w:rsidR="00A1B2C3" w:rsidRDefault="00A1B2C3">
            <w:r w:rsidRPr="00C4D5E6">
              <w:rPr>
                <w:rFonts w:ascii="Times New Roman" w:hAnsi="Times New Roman" w:eastAsia="宋体"/>
                <w:sz w:val="24"/>
                <w:szCs w:val="24"/>
              </w:rPr>
              <w:t xml:space="preserve">0.938</w:t>
            </w:r>
          </w:p>
        </w:tc>
        <w:tc>
          <w:tcPr>
            <w:tcW w:w="1800" w:type="dxa"/>
          </w:tcPr>
          <w:p w14:paraId="1A2B3CDA" w14:textId="77777777" w:rsidR="00A1B2C3" w:rsidRDefault="00A1B2C3">
            <w:r w:rsidRPr="00C4D5E6">
              <w:rPr>
                <w:rFonts w:ascii="Times New Roman" w:hAnsi="Times New Roman" w:eastAsia="宋体"/>
                <w:sz w:val="24"/>
                <w:szCs w:val="24"/>
              </w:rPr>
              <w:t xml:space="preserve">0.797</w:t>
            </w:r>
          </w:p>
        </w:tc>
        <w:tc>
          <w:tcPr>
            <w:tcW w:w="1800" w:type="dxa"/>
          </w:tcPr>
          <w:p w14:paraId="1A2B3CDB" w14:textId="77777777" w:rsidR="00A1B2C3" w:rsidRDefault="00A1B2C3">
            <w:r w:rsidRPr="00C4D5E6">
              <w:rPr>
                <w:rFonts w:ascii="Times New Roman" w:hAnsi="Times New Roman" w:eastAsia="宋体"/>
                <w:sz w:val="24"/>
                <w:szCs w:val="24"/>
              </w:rPr>
              <w:t xml:space="preserve">1.104</w:t>
            </w:r>
          </w:p>
        </w:tc>
      </w:tr>
      <w:tr>
        <w:tc>
          <w:tcPr>
            <w:tcW w:w="1800" w:type="dxa"/>
          </w:tcPr>
          <w:p w14:paraId="1A2B3CDC" w14:textId="77777777" w:rsidR="00A1B2C3" w:rsidRDefault="00A1B2C3"/>
        </w:tc>
        <w:tc>
          <w:tcPr>
            <w:tcW w:w="1800" w:type="dxa"/>
          </w:tcPr>
          <w:p w14:paraId="1A2B3CDD" w14:textId="77777777" w:rsidR="00A1B2C3" w:rsidRDefault="00A1B2C3">
            <w:r w:rsidRPr="00C4D5E6">
              <w:rPr>
                <w:rFonts w:ascii="Times New Roman" w:hAnsi="Times New Roman" w:eastAsia="宋体"/>
                <w:sz w:val="24"/>
                <w:szCs w:val="24"/>
              </w:rPr>
              <w:t xml:space="preserve">Liu et al. ([14])</w:t>
            </w:r>
          </w:p>
        </w:tc>
        <w:tc>
          <w:tcPr>
            <w:tcW w:w="1800" w:type="dxa"/>
          </w:tcPr>
          <w:p w14:paraId="1A2B3CDE" w14:textId="77777777" w:rsidR="00A1B2C3" w:rsidRDefault="00A1B2C3">
            <w:r w:rsidRPr="00C4D5E6">
              <w:rPr>
                <w:rFonts w:ascii="Times New Roman" w:hAnsi="Times New Roman" w:eastAsia="宋体"/>
                <w:sz w:val="24"/>
                <w:szCs w:val="24"/>
              </w:rPr>
              <w:t xml:space="preserve">1.043</w:t>
            </w:r>
          </w:p>
        </w:tc>
        <w:tc>
          <w:tcPr>
            <w:tcW w:w="1800" w:type="dxa"/>
          </w:tcPr>
          <w:p w14:paraId="1A2B3CDF" w14:textId="77777777" w:rsidR="00A1B2C3" w:rsidRDefault="00A1B2C3">
            <w:r w:rsidRPr="00C4D5E6">
              <w:rPr>
                <w:rFonts w:ascii="Times New Roman" w:hAnsi="Times New Roman" w:eastAsia="宋体"/>
                <w:sz w:val="24"/>
                <w:szCs w:val="24"/>
              </w:rPr>
              <w:t xml:space="preserve">0.913</w:t>
            </w:r>
          </w:p>
        </w:tc>
        <w:tc>
          <w:tcPr>
            <w:tcW w:w="1800" w:type="dxa"/>
          </w:tcPr>
          <w:p w14:paraId="1A2B3CE0" w14:textId="77777777" w:rsidR="00A1B2C3" w:rsidRDefault="00A1B2C3">
            <w:r w:rsidRPr="00C4D5E6">
              <w:rPr>
                <w:rFonts w:ascii="Times New Roman" w:hAnsi="Times New Roman" w:eastAsia="宋体"/>
                <w:sz w:val="24"/>
                <w:szCs w:val="24"/>
              </w:rPr>
              <w:t xml:space="preserve">1.192</w:t>
            </w:r>
          </w:p>
        </w:tc>
      </w:tr>
      <w:tr>
        <w:tc>
          <w:tcPr>
            <w:tcW w:w="1800" w:type="dxa"/>
          </w:tcPr>
          <w:p w14:paraId="1A2B3CE1" w14:textId="77777777" w:rsidR="00A1B2C3" w:rsidRDefault="00A1B2C3"/>
        </w:tc>
        <w:tc>
          <w:tcPr>
            <w:tcW w:w="1800" w:type="dxa"/>
          </w:tcPr>
          <w:p w14:paraId="1A2B3CE2" w14:textId="77777777" w:rsidR="00A1B2C3" w:rsidRDefault="00A1B2C3">
            <w:r w:rsidRPr="00C4D5E6">
              <w:rPr>
                <w:rFonts w:ascii="Times New Roman" w:hAnsi="Times New Roman" w:eastAsia="宋体"/>
                <w:sz w:val="24"/>
                <w:szCs w:val="24"/>
              </w:rPr>
              <w:t xml:space="preserve">Combined</w:t>
            </w:r>
          </w:p>
        </w:tc>
        <w:tc>
          <w:tcPr>
            <w:tcW w:w="1800" w:type="dxa"/>
          </w:tcPr>
          <w:p w14:paraId="1A2B3CE3" w14:textId="77777777" w:rsidR="00A1B2C3" w:rsidRDefault="00A1B2C3">
            <w:r w:rsidRPr="00C4D5E6">
              <w:rPr>
                <w:rFonts w:ascii="Times New Roman" w:hAnsi="Times New Roman" w:eastAsia="宋体"/>
                <w:sz w:val="24"/>
                <w:szCs w:val="24"/>
              </w:rPr>
              <w:t xml:space="preserve">1.026</w:t>
            </w:r>
          </w:p>
        </w:tc>
        <w:tc>
          <w:tcPr>
            <w:tcW w:w="1800" w:type="dxa"/>
          </w:tcPr>
          <w:p w14:paraId="1A2B3CE4" w14:textId="77777777" w:rsidR="00A1B2C3" w:rsidRDefault="00A1B2C3">
            <w:r w:rsidRPr="00C4D5E6">
              <w:rPr>
                <w:rFonts w:ascii="Times New Roman" w:hAnsi="Times New Roman" w:eastAsia="宋体"/>
                <w:sz w:val="24"/>
                <w:szCs w:val="24"/>
              </w:rPr>
              <w:t xml:space="preserve">0.908</w:t>
            </w:r>
          </w:p>
        </w:tc>
        <w:tc>
          <w:tcPr>
            <w:tcW w:w="1800" w:type="dxa"/>
          </w:tcPr>
          <w:p w14:paraId="1A2B3CE5" w14:textId="77777777" w:rsidR="00A1B2C3" w:rsidRDefault="00A1B2C3">
            <w:r w:rsidRPr="00C4D5E6">
              <w:rPr>
                <w:rFonts w:ascii="Times New Roman" w:hAnsi="Times New Roman" w:eastAsia="宋体"/>
                <w:sz w:val="24"/>
                <w:szCs w:val="24"/>
              </w:rPr>
              <w:t xml:space="preserve">1.160</w:t>
            </w:r>
          </w:p>
        </w:tc>
      </w:tr>
    </w:tbl>
    <w:p w14:paraId="1A2B3CE6" w14:textId="77777777" w:rsidR="00A1B2C3" w:rsidRDefault="00A1B2C3">
      <w:pPr>
        <w:spacing w:line="480" w:lineRule="auto"/>
        <w:ind w:firstLine="480"/>
        <w:jc w:val="both"/>
      </w:pPr>
      <w:r w:rsidRPr="00C4D5E6">
        <w:rPr>
          <w:i/>
          <w:rFonts w:ascii="Times New Roman" w:hAnsi="Times New Roman" w:eastAsia="宋体"/>
          <w:sz w:val="24"/>
          <w:szCs w:val="24"/>
        </w:rPr>
        <w:t xml:space="preserve">IC, induction chemotherapy; CCRT, concurrent chemoradiotherapy; OS, overall survival.</w:t>
      </w:r>
    </w:p>
    <w:p w14:paraId="1A2B3CE7" w14:textId="77777777" w:rsidR="00A1B2C3" w:rsidRDefault="00A1B2C3">
      <w:pPr>
        <w:spacing w:line="480" w:lineRule="auto"/>
        <w:ind w:firstLine="480"/>
        <w:jc w:val="both"/>
      </w:pPr>
      <w:r w:rsidRPr="00C4D5E6">
        <w:rPr>
          <w:b/>
          <w:rFonts w:ascii="Times New Roman" w:hAnsi="Times New Roman" w:eastAsia="宋体"/>
          <w:sz w:val="24"/>
          <w:szCs w:val="24"/>
        </w:rPr>
        <w:t xml:space="preserve">Table 4.</w:t>
      </w:r>
      <w:r w:rsidRPr="00C4D5E6">
        <w:rPr>
          <w:rFonts w:ascii="Times New Roman" w:hAnsi="Times New Roman" w:eastAsia="宋体"/>
          <w:sz w:val="24"/>
          <w:szCs w:val="24"/>
        </w:rPr>
        <w:t xml:space="preserve"> Sensitivity analysis for 1-, 2-, 3-, and 5-year OS rate, LRR, and DMR (CCRT vs. CCRT-CCT group).</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1800"/>
        <w:gridCol w:w="1800"/>
        <w:gridCol w:w="1800"/>
        <w:gridCol w:w="1800"/>
        <w:gridCol w:w="1800"/>
      </w:tblGrid>
      <w:tr>
        <w:trPr>
          <w:tblHeader/>
        </w:trPr>
        <w:tc>
          <w:tcPr>
            <w:tcW w:w="1800" w:type="dxa"/>
          </w:tcPr>
          <w:p w14:paraId="1A2B3CE8" w14:textId="77777777" w:rsidR="00A1B2C3" w:rsidRDefault="00A1B2C3">
            <w:r w:rsidRPr="00C4D5E6">
              <w:rPr>
                <w:rFonts w:ascii="Times New Roman" w:hAnsi="Times New Roman" w:eastAsia="宋体"/>
                <w:sz w:val="24"/>
                <w:szCs w:val="24"/>
              </w:rPr>
              <w:t xml:space="preserve">Items</w:t>
            </w:r>
          </w:p>
        </w:tc>
        <w:tc>
          <w:tcPr>
            <w:tcW w:w="1800" w:type="dxa"/>
          </w:tcPr>
          <w:p w14:paraId="1A2B3CE9" w14:textId="77777777" w:rsidR="00A1B2C3" w:rsidRDefault="00A1B2C3">
            <w:r w:rsidRPr="00C4D5E6">
              <w:rPr>
                <w:rFonts w:ascii="Times New Roman" w:hAnsi="Times New Roman" w:eastAsia="宋体"/>
                <w:sz w:val="24"/>
                <w:szCs w:val="24"/>
              </w:rPr>
              <w:t xml:space="preserve">Study omitted</w:t>
            </w:r>
          </w:p>
        </w:tc>
        <w:tc>
          <w:tcPr>
            <w:tcW w:w="1800" w:type="dxa"/>
          </w:tcPr>
          <w:p w14:paraId="1A2B3CEA" w14:textId="77777777" w:rsidR="00A1B2C3" w:rsidRDefault="00A1B2C3">
            <w:r w:rsidRPr="00C4D5E6">
              <w:rPr>
                <w:rFonts w:ascii="Times New Roman" w:hAnsi="Times New Roman" w:eastAsia="宋体"/>
                <w:sz w:val="24"/>
                <w:szCs w:val="24"/>
              </w:rPr>
              <w:t xml:space="preserve">Estimate</w:t>
            </w:r>
          </w:p>
        </w:tc>
        <w:tc>
          <w:tcPr>
            <w:tcW w:w="1800" w:type="dxa"/>
          </w:tcPr>
          <w:p w14:paraId="1A2B3CEB" w14:textId="77777777" w:rsidR="00A1B2C3" w:rsidRDefault="00A1B2C3">
            <w:r w:rsidRPr="00C4D5E6">
              <w:rPr>
                <w:rFonts w:ascii="Times New Roman" w:hAnsi="Times New Roman" w:eastAsia="宋体"/>
                <w:sz w:val="24"/>
                <w:szCs w:val="24"/>
              </w:rPr>
              <w:t xml:space="preserve">95% CI</w:t>
            </w:r>
          </w:p>
        </w:tc>
        <w:tc>
          <w:tcPr>
            <w:tcW w:w="1800" w:type="dxa"/>
          </w:tcPr>
          <w:p w14:paraId="1A2B3CEC" w14:textId="77777777" w:rsidR="00A1B2C3" w:rsidRDefault="00A1B2C3"/>
        </w:tc>
      </w:tr>
      <w:tr>
        <w:tc>
          <w:tcPr>
            <w:tcW w:w="1800" w:type="dxa"/>
          </w:tcPr>
          <w:p w14:paraId="1A2B3CED" w14:textId="77777777" w:rsidR="00A1B2C3" w:rsidRDefault="00A1B2C3">
            <w:r w:rsidRPr="00C4D5E6">
              <w:rPr>
                <w:rFonts w:ascii="Times New Roman" w:hAnsi="Times New Roman" w:eastAsia="宋体"/>
                <w:sz w:val="24"/>
                <w:szCs w:val="24"/>
              </w:rPr>
              <w:t xml:space="preserve">One-year OS rate</w:t>
            </w:r>
          </w:p>
        </w:tc>
        <w:tc>
          <w:tcPr>
            <w:tcW w:w="1800" w:type="dxa"/>
          </w:tcPr>
          <w:p w14:paraId="1A2B3CEE" w14:textId="77777777" w:rsidR="00A1B2C3" w:rsidRDefault="00A1B2C3">
            <w:r w:rsidRPr="00C4D5E6">
              <w:rPr>
                <w:rFonts w:ascii="Times New Roman" w:hAnsi="Times New Roman" w:eastAsia="宋体"/>
                <w:sz w:val="24"/>
                <w:szCs w:val="24"/>
              </w:rPr>
              <w:t xml:space="preserve">Wu et al. ([15])</w:t>
            </w:r>
          </w:p>
        </w:tc>
        <w:tc>
          <w:tcPr>
            <w:tcW w:w="1800" w:type="dxa"/>
          </w:tcPr>
          <w:p w14:paraId="1A2B3CEF" w14:textId="77777777" w:rsidR="00A1B2C3" w:rsidRDefault="00A1B2C3">
            <w:r w:rsidRPr="00C4D5E6">
              <w:rPr>
                <w:rFonts w:ascii="Times New Roman" w:hAnsi="Times New Roman" w:eastAsia="宋体"/>
                <w:sz w:val="24"/>
                <w:szCs w:val="24"/>
              </w:rPr>
              <w:t xml:space="preserve">0.588</w:t>
            </w:r>
          </w:p>
        </w:tc>
        <w:tc>
          <w:tcPr>
            <w:tcW w:w="1800" w:type="dxa"/>
          </w:tcPr>
          <w:p w14:paraId="1A2B3CF0" w14:textId="77777777" w:rsidR="00A1B2C3" w:rsidRDefault="00A1B2C3">
            <w:r w:rsidRPr="00C4D5E6">
              <w:rPr>
                <w:rFonts w:ascii="Times New Roman" w:hAnsi="Times New Roman" w:eastAsia="宋体"/>
                <w:sz w:val="24"/>
                <w:szCs w:val="24"/>
              </w:rPr>
              <w:t xml:space="preserve">0.467</w:t>
            </w:r>
          </w:p>
        </w:tc>
        <w:tc>
          <w:tcPr>
            <w:tcW w:w="1800" w:type="dxa"/>
          </w:tcPr>
          <w:p w14:paraId="1A2B3CF1" w14:textId="77777777" w:rsidR="00A1B2C3" w:rsidRDefault="00A1B2C3">
            <w:r w:rsidRPr="00C4D5E6">
              <w:rPr>
                <w:rFonts w:ascii="Times New Roman" w:hAnsi="Times New Roman" w:eastAsia="宋体"/>
                <w:sz w:val="24"/>
                <w:szCs w:val="24"/>
              </w:rPr>
              <w:t xml:space="preserve">0.741</w:t>
            </w:r>
          </w:p>
        </w:tc>
      </w:tr>
      <w:tr>
        <w:tc>
          <w:tcPr>
            <w:tcW w:w="1800" w:type="dxa"/>
          </w:tcPr>
          <w:p w14:paraId="1A2B3CF2" w14:textId="77777777" w:rsidR="00A1B2C3" w:rsidRDefault="00A1B2C3"/>
        </w:tc>
        <w:tc>
          <w:tcPr>
            <w:tcW w:w="1800" w:type="dxa"/>
          </w:tcPr>
          <w:p w14:paraId="1A2B3CF3" w14:textId="77777777" w:rsidR="00A1B2C3" w:rsidRDefault="00A1B2C3">
            <w:r w:rsidRPr="00C4D5E6">
              <w:rPr>
                <w:rFonts w:ascii="Times New Roman" w:hAnsi="Times New Roman" w:eastAsia="宋体"/>
                <w:sz w:val="24"/>
                <w:szCs w:val="24"/>
              </w:rPr>
              <w:t xml:space="preserve">Chen et al. ([16])</w:t>
            </w:r>
          </w:p>
        </w:tc>
        <w:tc>
          <w:tcPr>
            <w:tcW w:w="1800" w:type="dxa"/>
          </w:tcPr>
          <w:p w14:paraId="1A2B3CF4" w14:textId="77777777" w:rsidR="00A1B2C3" w:rsidRDefault="00A1B2C3">
            <w:r w:rsidRPr="00C4D5E6">
              <w:rPr>
                <w:rFonts w:ascii="Times New Roman" w:hAnsi="Times New Roman" w:eastAsia="宋体"/>
                <w:sz w:val="24"/>
                <w:szCs w:val="24"/>
              </w:rPr>
              <w:t xml:space="preserve">0.667</w:t>
            </w:r>
          </w:p>
        </w:tc>
        <w:tc>
          <w:tcPr>
            <w:tcW w:w="1800" w:type="dxa"/>
          </w:tcPr>
          <w:p w14:paraId="1A2B3CF5" w14:textId="77777777" w:rsidR="00A1B2C3" w:rsidRDefault="00A1B2C3">
            <w:r w:rsidRPr="00C4D5E6">
              <w:rPr>
                <w:rFonts w:ascii="Times New Roman" w:hAnsi="Times New Roman" w:eastAsia="宋体"/>
                <w:sz w:val="24"/>
                <w:szCs w:val="24"/>
              </w:rPr>
              <w:t xml:space="preserve">0.538</w:t>
            </w:r>
          </w:p>
        </w:tc>
        <w:tc>
          <w:tcPr>
            <w:tcW w:w="1800" w:type="dxa"/>
          </w:tcPr>
          <w:p w14:paraId="1A2B3CF6" w14:textId="77777777" w:rsidR="00A1B2C3" w:rsidRDefault="00A1B2C3">
            <w:r w:rsidRPr="00C4D5E6">
              <w:rPr>
                <w:rFonts w:ascii="Times New Roman" w:hAnsi="Times New Roman" w:eastAsia="宋体"/>
                <w:sz w:val="24"/>
                <w:szCs w:val="24"/>
              </w:rPr>
              <w:t xml:space="preserve">0.826</w:t>
            </w:r>
          </w:p>
        </w:tc>
      </w:tr>
      <w:tr>
        <w:tc>
          <w:tcPr>
            <w:tcW w:w="1800" w:type="dxa"/>
          </w:tcPr>
          <w:p w14:paraId="1A2B3CF7" w14:textId="77777777" w:rsidR="00A1B2C3" w:rsidRDefault="00A1B2C3"/>
        </w:tc>
        <w:tc>
          <w:tcPr>
            <w:tcW w:w="1800" w:type="dxa"/>
          </w:tcPr>
          <w:p w14:paraId="1A2B3CF8" w14:textId="77777777" w:rsidR="00A1B2C3" w:rsidRDefault="00A1B2C3">
            <w:r w:rsidRPr="00C4D5E6">
              <w:rPr>
                <w:rFonts w:ascii="Times New Roman" w:hAnsi="Times New Roman" w:eastAsia="宋体"/>
                <w:sz w:val="24"/>
                <w:szCs w:val="24"/>
              </w:rPr>
              <w:t xml:space="preserve">Chen et al. ([17])</w:t>
            </w:r>
          </w:p>
        </w:tc>
        <w:tc>
          <w:tcPr>
            <w:tcW w:w="1800" w:type="dxa"/>
          </w:tcPr>
          <w:p w14:paraId="1A2B3CF9" w14:textId="77777777" w:rsidR="00A1B2C3" w:rsidRDefault="00A1B2C3">
            <w:r w:rsidRPr="00C4D5E6">
              <w:rPr>
                <w:rFonts w:ascii="Times New Roman" w:hAnsi="Times New Roman" w:eastAsia="宋体"/>
                <w:sz w:val="24"/>
                <w:szCs w:val="24"/>
              </w:rPr>
              <w:t xml:space="preserve">0.625</w:t>
            </w:r>
          </w:p>
        </w:tc>
        <w:tc>
          <w:tcPr>
            <w:tcW w:w="1800" w:type="dxa"/>
          </w:tcPr>
          <w:p w14:paraId="1A2B3CFA" w14:textId="77777777" w:rsidR="00A1B2C3" w:rsidRDefault="00A1B2C3">
            <w:r w:rsidRPr="00C4D5E6">
              <w:rPr>
                <w:rFonts w:ascii="Times New Roman" w:hAnsi="Times New Roman" w:eastAsia="宋体"/>
                <w:sz w:val="24"/>
                <w:szCs w:val="24"/>
              </w:rPr>
              <w:t xml:space="preserve">0.501</w:t>
            </w:r>
          </w:p>
        </w:tc>
        <w:tc>
          <w:tcPr>
            <w:tcW w:w="1800" w:type="dxa"/>
          </w:tcPr>
          <w:p w14:paraId="1A2B3CFB" w14:textId="77777777" w:rsidR="00A1B2C3" w:rsidRDefault="00A1B2C3">
            <w:r w:rsidRPr="00C4D5E6">
              <w:rPr>
                <w:rFonts w:ascii="Times New Roman" w:hAnsi="Times New Roman" w:eastAsia="宋体"/>
                <w:sz w:val="24"/>
                <w:szCs w:val="24"/>
              </w:rPr>
              <w:t xml:space="preserve">0.780</w:t>
            </w:r>
          </w:p>
        </w:tc>
      </w:tr>
      <w:tr>
        <w:tc>
          <w:tcPr>
            <w:tcW w:w="1800" w:type="dxa"/>
          </w:tcPr>
          <w:p w14:paraId="1A2B3CFC" w14:textId="77777777" w:rsidR="00A1B2C3" w:rsidRDefault="00A1B2C3"/>
        </w:tc>
        <w:tc>
          <w:tcPr>
            <w:tcW w:w="1800" w:type="dxa"/>
          </w:tcPr>
          <w:p w14:paraId="1A2B3CFD" w14:textId="77777777" w:rsidR="00A1B2C3" w:rsidRDefault="00A1B2C3">
            <w:r w:rsidRPr="00C4D5E6">
              <w:rPr>
                <w:rFonts w:ascii="Times New Roman" w:hAnsi="Times New Roman" w:eastAsia="宋体"/>
                <w:sz w:val="24"/>
                <w:szCs w:val="24"/>
              </w:rPr>
              <w:t xml:space="preserve">Chen et al. ([18])</w:t>
            </w:r>
          </w:p>
        </w:tc>
        <w:tc>
          <w:tcPr>
            <w:tcW w:w="1800" w:type="dxa"/>
          </w:tcPr>
          <w:p w14:paraId="1A2B3CFE" w14:textId="77777777" w:rsidR="00A1B2C3" w:rsidRDefault="00A1B2C3">
            <w:r w:rsidRPr="00C4D5E6">
              <w:rPr>
                <w:rFonts w:ascii="Times New Roman" w:hAnsi="Times New Roman" w:eastAsia="宋体"/>
                <w:sz w:val="24"/>
                <w:szCs w:val="24"/>
              </w:rPr>
              <w:t xml:space="preserve">0.651</w:t>
            </w:r>
          </w:p>
        </w:tc>
        <w:tc>
          <w:tcPr>
            <w:tcW w:w="1800" w:type="dxa"/>
          </w:tcPr>
          <w:p w14:paraId="1A2B3CFF" w14:textId="77777777" w:rsidR="00A1B2C3" w:rsidRDefault="00A1B2C3">
            <w:r w:rsidRPr="00C4D5E6">
              <w:rPr>
                <w:rFonts w:ascii="Times New Roman" w:hAnsi="Times New Roman" w:eastAsia="宋体"/>
                <w:sz w:val="24"/>
                <w:szCs w:val="24"/>
              </w:rPr>
              <w:t xml:space="preserve">0.528</w:t>
            </w:r>
          </w:p>
        </w:tc>
        <w:tc>
          <w:tcPr>
            <w:tcW w:w="1800" w:type="dxa"/>
          </w:tcPr>
          <w:p w14:paraId="1A2B3D00" w14:textId="77777777" w:rsidR="00A1B2C3" w:rsidRDefault="00A1B2C3">
            <w:r w:rsidRPr="00C4D5E6">
              <w:rPr>
                <w:rFonts w:ascii="Times New Roman" w:hAnsi="Times New Roman" w:eastAsia="宋体"/>
                <w:sz w:val="24"/>
                <w:szCs w:val="24"/>
              </w:rPr>
              <w:t xml:space="preserve">0.802</w:t>
            </w:r>
          </w:p>
        </w:tc>
      </w:tr>
      <w:tr>
        <w:tc>
          <w:tcPr>
            <w:tcW w:w="1800" w:type="dxa"/>
          </w:tcPr>
          <w:p w14:paraId="1A2B3D01" w14:textId="77777777" w:rsidR="00A1B2C3" w:rsidRDefault="00A1B2C3"/>
        </w:tc>
        <w:tc>
          <w:tcPr>
            <w:tcW w:w="1800" w:type="dxa"/>
          </w:tcPr>
          <w:p w14:paraId="1A2B3D02" w14:textId="77777777" w:rsidR="00A1B2C3" w:rsidRDefault="00A1B2C3">
            <w:r w:rsidRPr="00C4D5E6">
              <w:rPr>
                <w:rFonts w:ascii="Times New Roman" w:hAnsi="Times New Roman" w:eastAsia="宋体"/>
                <w:sz w:val="24"/>
                <w:szCs w:val="24"/>
              </w:rPr>
              <w:t xml:space="preserve">Koh et al. ([19])</w:t>
            </w:r>
          </w:p>
        </w:tc>
        <w:tc>
          <w:tcPr>
            <w:tcW w:w="1800" w:type="dxa"/>
          </w:tcPr>
          <w:p w14:paraId="1A2B3D03" w14:textId="77777777" w:rsidR="00A1B2C3" w:rsidRDefault="00A1B2C3">
            <w:r w:rsidRPr="00C4D5E6">
              <w:rPr>
                <w:rFonts w:ascii="Times New Roman" w:hAnsi="Times New Roman" w:eastAsia="宋体"/>
                <w:sz w:val="24"/>
                <w:szCs w:val="24"/>
              </w:rPr>
              <w:t xml:space="preserve">0.649</w:t>
            </w:r>
          </w:p>
        </w:tc>
        <w:tc>
          <w:tcPr>
            <w:tcW w:w="1800" w:type="dxa"/>
          </w:tcPr>
          <w:p w14:paraId="1A2B3D04" w14:textId="77777777" w:rsidR="00A1B2C3" w:rsidRDefault="00A1B2C3">
            <w:r w:rsidRPr="00C4D5E6">
              <w:rPr>
                <w:rFonts w:ascii="Times New Roman" w:hAnsi="Times New Roman" w:eastAsia="宋体"/>
                <w:sz w:val="24"/>
                <w:szCs w:val="24"/>
              </w:rPr>
              <w:t xml:space="preserve">0.522</w:t>
            </w:r>
          </w:p>
        </w:tc>
        <w:tc>
          <w:tcPr>
            <w:tcW w:w="1800" w:type="dxa"/>
          </w:tcPr>
          <w:p w14:paraId="1A2B3D05" w14:textId="77777777" w:rsidR="00A1B2C3" w:rsidRDefault="00A1B2C3">
            <w:r w:rsidRPr="00C4D5E6">
              <w:rPr>
                <w:rFonts w:ascii="Times New Roman" w:hAnsi="Times New Roman" w:eastAsia="宋体"/>
                <w:sz w:val="24"/>
                <w:szCs w:val="24"/>
              </w:rPr>
              <w:t xml:space="preserve">0.805</w:t>
            </w:r>
          </w:p>
        </w:tc>
      </w:tr>
      <w:tr>
        <w:tc>
          <w:tcPr>
            <w:tcW w:w="1800" w:type="dxa"/>
          </w:tcPr>
          <w:p w14:paraId="1A2B3D06" w14:textId="77777777" w:rsidR="00A1B2C3" w:rsidRDefault="00A1B2C3"/>
        </w:tc>
        <w:tc>
          <w:tcPr>
            <w:tcW w:w="1800" w:type="dxa"/>
          </w:tcPr>
          <w:p w14:paraId="1A2B3D07" w14:textId="77777777" w:rsidR="00A1B2C3" w:rsidRDefault="00A1B2C3">
            <w:r w:rsidRPr="00C4D5E6">
              <w:rPr>
                <w:rFonts w:ascii="Times New Roman" w:hAnsi="Times New Roman" w:eastAsia="宋体"/>
                <w:sz w:val="24"/>
                <w:szCs w:val="24"/>
              </w:rPr>
              <w:t xml:space="preserve">Zhang et al. ([20])</w:t>
            </w:r>
          </w:p>
        </w:tc>
        <w:tc>
          <w:tcPr>
            <w:tcW w:w="1800" w:type="dxa"/>
          </w:tcPr>
          <w:p w14:paraId="1A2B3D08" w14:textId="77777777" w:rsidR="00A1B2C3" w:rsidRDefault="00A1B2C3">
            <w:r w:rsidRPr="00C4D5E6">
              <w:rPr>
                <w:rFonts w:ascii="Times New Roman" w:hAnsi="Times New Roman" w:eastAsia="宋体"/>
                <w:sz w:val="24"/>
                <w:szCs w:val="24"/>
              </w:rPr>
              <w:t xml:space="preserve">0.687</w:t>
            </w:r>
          </w:p>
        </w:tc>
        <w:tc>
          <w:tcPr>
            <w:tcW w:w="1800" w:type="dxa"/>
          </w:tcPr>
          <w:p w14:paraId="1A2B3D09" w14:textId="77777777" w:rsidR="00A1B2C3" w:rsidRDefault="00A1B2C3">
            <w:r w:rsidRPr="00C4D5E6">
              <w:rPr>
                <w:rFonts w:ascii="Times New Roman" w:hAnsi="Times New Roman" w:eastAsia="宋体"/>
                <w:sz w:val="24"/>
                <w:szCs w:val="24"/>
              </w:rPr>
              <w:t xml:space="preserve">0.551</w:t>
            </w:r>
          </w:p>
        </w:tc>
        <w:tc>
          <w:tcPr>
            <w:tcW w:w="1800" w:type="dxa"/>
          </w:tcPr>
          <w:p w14:paraId="1A2B3D0A" w14:textId="77777777" w:rsidR="00A1B2C3" w:rsidRDefault="00A1B2C3">
            <w:r w:rsidRPr="00C4D5E6">
              <w:rPr>
                <w:rFonts w:ascii="Times New Roman" w:hAnsi="Times New Roman" w:eastAsia="宋体"/>
                <w:sz w:val="24"/>
                <w:szCs w:val="24"/>
              </w:rPr>
              <w:t xml:space="preserve">0.857</w:t>
            </w:r>
          </w:p>
        </w:tc>
      </w:tr>
      <w:tr>
        <w:tc>
          <w:tcPr>
            <w:tcW w:w="1800" w:type="dxa"/>
          </w:tcPr>
          <w:p w14:paraId="1A2B3D0B" w14:textId="77777777" w:rsidR="00A1B2C3" w:rsidRDefault="00A1B2C3"/>
        </w:tc>
        <w:tc>
          <w:tcPr>
            <w:tcW w:w="1800" w:type="dxa"/>
          </w:tcPr>
          <w:p w14:paraId="1A2B3D0C" w14:textId="77777777" w:rsidR="00A1B2C3" w:rsidRDefault="00A1B2C3">
            <w:r w:rsidRPr="00C4D5E6">
              <w:rPr>
                <w:rFonts w:ascii="Times New Roman" w:hAnsi="Times New Roman" w:eastAsia="宋体"/>
                <w:sz w:val="24"/>
                <w:szCs w:val="24"/>
              </w:rPr>
              <w:t xml:space="preserve">Combined</w:t>
            </w:r>
          </w:p>
        </w:tc>
        <w:tc>
          <w:tcPr>
            <w:tcW w:w="1800" w:type="dxa"/>
          </w:tcPr>
          <w:p w14:paraId="1A2B3D0D" w14:textId="77777777" w:rsidR="00A1B2C3" w:rsidRDefault="00A1B2C3">
            <w:r w:rsidRPr="00C4D5E6">
              <w:rPr>
                <w:rFonts w:ascii="Times New Roman" w:hAnsi="Times New Roman" w:eastAsia="宋体"/>
                <w:sz w:val="24"/>
                <w:szCs w:val="24"/>
              </w:rPr>
              <w:t xml:space="preserve">0.644</w:t>
            </w:r>
          </w:p>
        </w:tc>
        <w:tc>
          <w:tcPr>
            <w:tcW w:w="1800" w:type="dxa"/>
          </w:tcPr>
          <w:p w14:paraId="1A2B3D0E" w14:textId="77777777" w:rsidR="00A1B2C3" w:rsidRDefault="00A1B2C3">
            <w:r w:rsidRPr="00C4D5E6">
              <w:rPr>
                <w:rFonts w:ascii="Times New Roman" w:hAnsi="Times New Roman" w:eastAsia="宋体"/>
                <w:sz w:val="24"/>
                <w:szCs w:val="24"/>
              </w:rPr>
              <w:t xml:space="preserve">0.528</w:t>
            </w:r>
          </w:p>
        </w:tc>
        <w:tc>
          <w:tcPr>
            <w:tcW w:w="1800" w:type="dxa"/>
          </w:tcPr>
          <w:p w14:paraId="1A2B3D0F" w14:textId="77777777" w:rsidR="00A1B2C3" w:rsidRDefault="00A1B2C3">
            <w:r w:rsidRPr="00C4D5E6">
              <w:rPr>
                <w:rFonts w:ascii="Times New Roman" w:hAnsi="Times New Roman" w:eastAsia="宋体"/>
                <w:sz w:val="24"/>
                <w:szCs w:val="24"/>
              </w:rPr>
              <w:t xml:space="preserve">0.786</w:t>
            </w:r>
          </w:p>
        </w:tc>
      </w:tr>
      <w:tr>
        <w:tc>
          <w:tcPr>
            <w:tcW w:w="1800" w:type="dxa"/>
          </w:tcPr>
          <w:p w14:paraId="1A2B3D10" w14:textId="77777777" w:rsidR="00A1B2C3" w:rsidRDefault="00A1B2C3">
            <w:r w:rsidRPr="00C4D5E6">
              <w:rPr>
                <w:rFonts w:ascii="Times New Roman" w:hAnsi="Times New Roman" w:eastAsia="宋体"/>
                <w:sz w:val="24"/>
                <w:szCs w:val="24"/>
              </w:rPr>
              <w:t xml:space="preserve">Two-year OS rate</w:t>
            </w:r>
          </w:p>
        </w:tc>
        <w:tc>
          <w:tcPr>
            <w:tcW w:w="1800" w:type="dxa"/>
          </w:tcPr>
          <w:p w14:paraId="1A2B3D11" w14:textId="77777777" w:rsidR="00A1B2C3" w:rsidRDefault="00A1B2C3">
            <w:r w:rsidRPr="00C4D5E6">
              <w:rPr>
                <w:rFonts w:ascii="Times New Roman" w:hAnsi="Times New Roman" w:eastAsia="宋体"/>
                <w:sz w:val="24"/>
                <w:szCs w:val="24"/>
              </w:rPr>
              <w:t xml:space="preserve">Wu et al. ([15])</w:t>
            </w:r>
          </w:p>
        </w:tc>
        <w:tc>
          <w:tcPr>
            <w:tcW w:w="1800" w:type="dxa"/>
          </w:tcPr>
          <w:p w14:paraId="1A2B3D12" w14:textId="77777777" w:rsidR="00A1B2C3" w:rsidRDefault="00A1B2C3">
            <w:r w:rsidRPr="00C4D5E6">
              <w:rPr>
                <w:rFonts w:ascii="Times New Roman" w:hAnsi="Times New Roman" w:eastAsia="宋体"/>
                <w:sz w:val="24"/>
                <w:szCs w:val="24"/>
              </w:rPr>
              <w:t xml:space="preserve">0.872</w:t>
            </w:r>
          </w:p>
        </w:tc>
        <w:tc>
          <w:tcPr>
            <w:tcW w:w="1800" w:type="dxa"/>
          </w:tcPr>
          <w:p w14:paraId="1A2B3D13" w14:textId="77777777" w:rsidR="00A1B2C3" w:rsidRDefault="00A1B2C3">
            <w:r w:rsidRPr="00C4D5E6">
              <w:rPr>
                <w:rFonts w:ascii="Times New Roman" w:hAnsi="Times New Roman" w:eastAsia="宋体"/>
                <w:sz w:val="24"/>
                <w:szCs w:val="24"/>
              </w:rPr>
              <w:t xml:space="preserve">0.745</w:t>
            </w:r>
          </w:p>
        </w:tc>
        <w:tc>
          <w:tcPr>
            <w:tcW w:w="1800" w:type="dxa"/>
          </w:tcPr>
          <w:p w14:paraId="1A2B3D14" w14:textId="77777777" w:rsidR="00A1B2C3" w:rsidRDefault="00A1B2C3">
            <w:r w:rsidRPr="00C4D5E6">
              <w:rPr>
                <w:rFonts w:ascii="Times New Roman" w:hAnsi="Times New Roman" w:eastAsia="宋体"/>
                <w:sz w:val="24"/>
                <w:szCs w:val="24"/>
              </w:rPr>
              <w:t xml:space="preserve">1.020</w:t>
            </w:r>
          </w:p>
        </w:tc>
      </w:tr>
      <w:tr>
        <w:tc>
          <w:tcPr>
            <w:tcW w:w="1800" w:type="dxa"/>
          </w:tcPr>
          <w:p w14:paraId="1A2B3D15" w14:textId="77777777" w:rsidR="00A1B2C3" w:rsidRDefault="00A1B2C3"/>
        </w:tc>
        <w:tc>
          <w:tcPr>
            <w:tcW w:w="1800" w:type="dxa"/>
          </w:tcPr>
          <w:p w14:paraId="1A2B3D16" w14:textId="77777777" w:rsidR="00A1B2C3" w:rsidRDefault="00A1B2C3">
            <w:r w:rsidRPr="00C4D5E6">
              <w:rPr>
                <w:rFonts w:ascii="Times New Roman" w:hAnsi="Times New Roman" w:eastAsia="宋体"/>
                <w:sz w:val="24"/>
                <w:szCs w:val="24"/>
              </w:rPr>
              <w:t xml:space="preserve">Chen et al. ([16])</w:t>
            </w:r>
          </w:p>
        </w:tc>
        <w:tc>
          <w:tcPr>
            <w:tcW w:w="1800" w:type="dxa"/>
          </w:tcPr>
          <w:p w14:paraId="1A2B3D17" w14:textId="77777777" w:rsidR="00A1B2C3" w:rsidRDefault="00A1B2C3">
            <w:r w:rsidRPr="00C4D5E6">
              <w:rPr>
                <w:rFonts w:ascii="Times New Roman" w:hAnsi="Times New Roman" w:eastAsia="宋体"/>
                <w:sz w:val="24"/>
                <w:szCs w:val="24"/>
              </w:rPr>
              <w:t xml:space="preserve">0.888</w:t>
            </w:r>
          </w:p>
        </w:tc>
        <w:tc>
          <w:tcPr>
            <w:tcW w:w="1800" w:type="dxa"/>
          </w:tcPr>
          <w:p w14:paraId="1A2B3D18" w14:textId="77777777" w:rsidR="00A1B2C3" w:rsidRDefault="00A1B2C3">
            <w:r w:rsidRPr="00C4D5E6">
              <w:rPr>
                <w:rFonts w:ascii="Times New Roman" w:hAnsi="Times New Roman" w:eastAsia="宋体"/>
                <w:sz w:val="24"/>
                <w:szCs w:val="24"/>
              </w:rPr>
              <w:t xml:space="preserve">0.765</w:t>
            </w:r>
          </w:p>
        </w:tc>
        <w:tc>
          <w:tcPr>
            <w:tcW w:w="1800" w:type="dxa"/>
          </w:tcPr>
          <w:p w14:paraId="1A2B3D19" w14:textId="77777777" w:rsidR="00A1B2C3" w:rsidRDefault="00A1B2C3">
            <w:r w:rsidRPr="00C4D5E6">
              <w:rPr>
                <w:rFonts w:ascii="Times New Roman" w:hAnsi="Times New Roman" w:eastAsia="宋体"/>
                <w:sz w:val="24"/>
                <w:szCs w:val="24"/>
              </w:rPr>
              <w:t xml:space="preserve">1.030</w:t>
            </w:r>
          </w:p>
        </w:tc>
      </w:tr>
      <w:tr>
        <w:tc>
          <w:tcPr>
            <w:tcW w:w="1800" w:type="dxa"/>
          </w:tcPr>
          <w:p w14:paraId="1A2B3D1A" w14:textId="77777777" w:rsidR="00A1B2C3" w:rsidRDefault="00A1B2C3"/>
        </w:tc>
        <w:tc>
          <w:tcPr>
            <w:tcW w:w="1800" w:type="dxa"/>
          </w:tcPr>
          <w:p w14:paraId="1A2B3D1B" w14:textId="77777777" w:rsidR="00A1B2C3" w:rsidRDefault="00A1B2C3">
            <w:r w:rsidRPr="00C4D5E6">
              <w:rPr>
                <w:rFonts w:ascii="Times New Roman" w:hAnsi="Times New Roman" w:eastAsia="宋体"/>
                <w:sz w:val="24"/>
                <w:szCs w:val="24"/>
              </w:rPr>
              <w:t xml:space="preserve">Chen et al. ([17])</w:t>
            </w:r>
          </w:p>
        </w:tc>
        <w:tc>
          <w:tcPr>
            <w:tcW w:w="1800" w:type="dxa"/>
          </w:tcPr>
          <w:p w14:paraId="1A2B3D1C" w14:textId="77777777" w:rsidR="00A1B2C3" w:rsidRDefault="00A1B2C3">
            <w:r w:rsidRPr="00C4D5E6">
              <w:rPr>
                <w:rFonts w:ascii="Times New Roman" w:hAnsi="Times New Roman" w:eastAsia="宋体"/>
                <w:sz w:val="24"/>
                <w:szCs w:val="24"/>
              </w:rPr>
              <w:t xml:space="preserve">0.896</w:t>
            </w:r>
          </w:p>
        </w:tc>
        <w:tc>
          <w:tcPr>
            <w:tcW w:w="1800" w:type="dxa"/>
          </w:tcPr>
          <w:p w14:paraId="1A2B3D1D" w14:textId="77777777" w:rsidR="00A1B2C3" w:rsidRDefault="00A1B2C3">
            <w:r w:rsidRPr="00C4D5E6">
              <w:rPr>
                <w:rFonts w:ascii="Times New Roman" w:hAnsi="Times New Roman" w:eastAsia="宋体"/>
                <w:sz w:val="24"/>
                <w:szCs w:val="24"/>
              </w:rPr>
              <w:t xml:space="preserve">0.770</w:t>
            </w:r>
          </w:p>
        </w:tc>
        <w:tc>
          <w:tcPr>
            <w:tcW w:w="1800" w:type="dxa"/>
          </w:tcPr>
          <w:p w14:paraId="1A2B3D1E" w14:textId="77777777" w:rsidR="00A1B2C3" w:rsidRDefault="00A1B2C3">
            <w:r w:rsidRPr="00C4D5E6">
              <w:rPr>
                <w:rFonts w:ascii="Times New Roman" w:hAnsi="Times New Roman" w:eastAsia="宋体"/>
                <w:sz w:val="24"/>
                <w:szCs w:val="24"/>
              </w:rPr>
              <w:t xml:space="preserve">1.042</w:t>
            </w:r>
          </w:p>
        </w:tc>
      </w:tr>
      <w:tr>
        <w:tc>
          <w:tcPr>
            <w:tcW w:w="1800" w:type="dxa"/>
          </w:tcPr>
          <w:p w14:paraId="1A2B3D1F" w14:textId="77777777" w:rsidR="00A1B2C3" w:rsidRDefault="00A1B2C3"/>
        </w:tc>
        <w:tc>
          <w:tcPr>
            <w:tcW w:w="1800" w:type="dxa"/>
          </w:tcPr>
          <w:p w14:paraId="1A2B3D20" w14:textId="77777777" w:rsidR="00A1B2C3" w:rsidRDefault="00A1B2C3">
            <w:r w:rsidRPr="00C4D5E6">
              <w:rPr>
                <w:rFonts w:ascii="Times New Roman" w:hAnsi="Times New Roman" w:eastAsia="宋体"/>
                <w:sz w:val="24"/>
                <w:szCs w:val="24"/>
              </w:rPr>
              <w:t xml:space="preserve">Koh et al. ([19])</w:t>
            </w:r>
          </w:p>
        </w:tc>
        <w:tc>
          <w:tcPr>
            <w:tcW w:w="1800" w:type="dxa"/>
          </w:tcPr>
          <w:p w14:paraId="1A2B3D21" w14:textId="77777777" w:rsidR="00A1B2C3" w:rsidRDefault="00A1B2C3">
            <w:r w:rsidRPr="00C4D5E6">
              <w:rPr>
                <w:rFonts w:ascii="Times New Roman" w:hAnsi="Times New Roman" w:eastAsia="宋体"/>
                <w:sz w:val="24"/>
                <w:szCs w:val="24"/>
              </w:rPr>
              <w:t xml:space="preserve">0.894</w:t>
            </w:r>
          </w:p>
        </w:tc>
        <w:tc>
          <w:tcPr>
            <w:tcW w:w="1800" w:type="dxa"/>
          </w:tcPr>
          <w:p w14:paraId="1A2B3D22" w14:textId="77777777" w:rsidR="00A1B2C3" w:rsidRDefault="00A1B2C3">
            <w:r w:rsidRPr="00C4D5E6">
              <w:rPr>
                <w:rFonts w:ascii="Times New Roman" w:hAnsi="Times New Roman" w:eastAsia="宋体"/>
                <w:sz w:val="24"/>
                <w:szCs w:val="24"/>
              </w:rPr>
              <w:t xml:space="preserve">0.777</w:t>
            </w:r>
          </w:p>
        </w:tc>
        <w:tc>
          <w:tcPr>
            <w:tcW w:w="1800" w:type="dxa"/>
          </w:tcPr>
          <w:p w14:paraId="1A2B3D23" w14:textId="77777777" w:rsidR="00A1B2C3" w:rsidRDefault="00A1B2C3">
            <w:r w:rsidRPr="00C4D5E6">
              <w:rPr>
                <w:rFonts w:ascii="Times New Roman" w:hAnsi="Times New Roman" w:eastAsia="宋体"/>
                <w:sz w:val="24"/>
                <w:szCs w:val="24"/>
              </w:rPr>
              <w:t xml:space="preserve">1.028</w:t>
            </w:r>
          </w:p>
        </w:tc>
      </w:tr>
      <w:tr>
        <w:tc>
          <w:tcPr>
            <w:tcW w:w="1800" w:type="dxa"/>
          </w:tcPr>
          <w:p w14:paraId="1A2B3D24" w14:textId="77777777" w:rsidR="00A1B2C3" w:rsidRDefault="00A1B2C3"/>
        </w:tc>
        <w:tc>
          <w:tcPr>
            <w:tcW w:w="1800" w:type="dxa"/>
          </w:tcPr>
          <w:p w14:paraId="1A2B3D25" w14:textId="77777777" w:rsidR="00A1B2C3" w:rsidRDefault="00A1B2C3">
            <w:r w:rsidRPr="00C4D5E6">
              <w:rPr>
                <w:rFonts w:ascii="Times New Roman" w:hAnsi="Times New Roman" w:eastAsia="宋体"/>
                <w:sz w:val="24"/>
                <w:szCs w:val="24"/>
              </w:rPr>
              <w:t xml:space="preserve">Combined</w:t>
            </w:r>
          </w:p>
        </w:tc>
        <w:tc>
          <w:tcPr>
            <w:tcW w:w="1800" w:type="dxa"/>
          </w:tcPr>
          <w:p w14:paraId="1A2B3D26" w14:textId="77777777" w:rsidR="00A1B2C3" w:rsidRDefault="00A1B2C3">
            <w:r w:rsidRPr="00C4D5E6">
              <w:rPr>
                <w:rFonts w:ascii="Times New Roman" w:hAnsi="Times New Roman" w:eastAsia="宋体"/>
                <w:sz w:val="24"/>
                <w:szCs w:val="24"/>
              </w:rPr>
              <w:t xml:space="preserve">0.888</w:t>
            </w:r>
          </w:p>
        </w:tc>
        <w:tc>
          <w:tcPr>
            <w:tcW w:w="1800" w:type="dxa"/>
          </w:tcPr>
          <w:p w14:paraId="1A2B3D27" w14:textId="77777777" w:rsidR="00A1B2C3" w:rsidRDefault="00A1B2C3">
            <w:r w:rsidRPr="00C4D5E6">
              <w:rPr>
                <w:rFonts w:ascii="Times New Roman" w:hAnsi="Times New Roman" w:eastAsia="宋体"/>
                <w:sz w:val="24"/>
                <w:szCs w:val="24"/>
              </w:rPr>
              <w:t xml:space="preserve">0.779</w:t>
            </w:r>
          </w:p>
        </w:tc>
        <w:tc>
          <w:tcPr>
            <w:tcW w:w="1800" w:type="dxa"/>
          </w:tcPr>
          <w:p w14:paraId="1A2B3D28" w14:textId="77777777" w:rsidR="00A1B2C3" w:rsidRDefault="00A1B2C3">
            <w:r w:rsidRPr="00C4D5E6">
              <w:rPr>
                <w:rFonts w:ascii="Times New Roman" w:hAnsi="Times New Roman" w:eastAsia="宋体"/>
                <w:sz w:val="24"/>
                <w:szCs w:val="24"/>
              </w:rPr>
              <w:t xml:space="preserve">1.011</w:t>
            </w:r>
          </w:p>
        </w:tc>
      </w:tr>
      <w:tr>
        <w:tc>
          <w:tcPr>
            <w:tcW w:w="1800" w:type="dxa"/>
          </w:tcPr>
          <w:p w14:paraId="1A2B3D29" w14:textId="77777777" w:rsidR="00A1B2C3" w:rsidRDefault="00A1B2C3">
            <w:r w:rsidRPr="00C4D5E6">
              <w:rPr>
                <w:rFonts w:ascii="Times New Roman" w:hAnsi="Times New Roman" w:eastAsia="宋体"/>
                <w:sz w:val="24"/>
                <w:szCs w:val="24"/>
              </w:rPr>
              <w:t xml:space="preserve">Three-year OS rate</w:t>
            </w:r>
          </w:p>
        </w:tc>
        <w:tc>
          <w:tcPr>
            <w:tcW w:w="1800" w:type="dxa"/>
          </w:tcPr>
          <w:p w14:paraId="1A2B3D2A" w14:textId="77777777" w:rsidR="00A1B2C3" w:rsidRDefault="00A1B2C3">
            <w:r w:rsidRPr="00C4D5E6">
              <w:rPr>
                <w:rFonts w:ascii="Times New Roman" w:hAnsi="Times New Roman" w:eastAsia="宋体"/>
                <w:sz w:val="24"/>
                <w:szCs w:val="24"/>
              </w:rPr>
              <w:t xml:space="preserve">Wu et al. ([15])</w:t>
            </w:r>
          </w:p>
        </w:tc>
        <w:tc>
          <w:tcPr>
            <w:tcW w:w="1800" w:type="dxa"/>
          </w:tcPr>
          <w:p w14:paraId="1A2B3D2B" w14:textId="77777777" w:rsidR="00A1B2C3" w:rsidRDefault="00A1B2C3">
            <w:r w:rsidRPr="00C4D5E6">
              <w:rPr>
                <w:rFonts w:ascii="Times New Roman" w:hAnsi="Times New Roman" w:eastAsia="宋体"/>
                <w:sz w:val="24"/>
                <w:szCs w:val="24"/>
              </w:rPr>
              <w:t xml:space="preserve">0.907</w:t>
            </w:r>
          </w:p>
        </w:tc>
        <w:tc>
          <w:tcPr>
            <w:tcW w:w="1800" w:type="dxa"/>
          </w:tcPr>
          <w:p w14:paraId="1A2B3D2C" w14:textId="77777777" w:rsidR="00A1B2C3" w:rsidRDefault="00A1B2C3">
            <w:r w:rsidRPr="00C4D5E6">
              <w:rPr>
                <w:rFonts w:ascii="Times New Roman" w:hAnsi="Times New Roman" w:eastAsia="宋体"/>
                <w:sz w:val="24"/>
                <w:szCs w:val="24"/>
              </w:rPr>
              <w:t xml:space="preserve">0.825</w:t>
            </w:r>
          </w:p>
        </w:tc>
        <w:tc>
          <w:tcPr>
            <w:tcW w:w="1800" w:type="dxa"/>
          </w:tcPr>
          <w:p w14:paraId="1A2B3D2D" w14:textId="77777777" w:rsidR="00A1B2C3" w:rsidRDefault="00A1B2C3">
            <w:r w:rsidRPr="00C4D5E6">
              <w:rPr>
                <w:rFonts w:ascii="Times New Roman" w:hAnsi="Times New Roman" w:eastAsia="宋体"/>
                <w:sz w:val="24"/>
                <w:szCs w:val="24"/>
              </w:rPr>
              <w:t xml:space="preserve">0.998</w:t>
            </w:r>
          </w:p>
        </w:tc>
      </w:tr>
      <w:tr>
        <w:tc>
          <w:tcPr>
            <w:tcW w:w="1800" w:type="dxa"/>
          </w:tcPr>
          <w:p w14:paraId="1A2B3D2E" w14:textId="77777777" w:rsidR="00A1B2C3" w:rsidRDefault="00A1B2C3"/>
        </w:tc>
        <w:tc>
          <w:tcPr>
            <w:tcW w:w="1800" w:type="dxa"/>
          </w:tcPr>
          <w:p w14:paraId="1A2B3D2F" w14:textId="77777777" w:rsidR="00A1B2C3" w:rsidRDefault="00A1B2C3">
            <w:r w:rsidRPr="00C4D5E6">
              <w:rPr>
                <w:rFonts w:ascii="Times New Roman" w:hAnsi="Times New Roman" w:eastAsia="宋体"/>
                <w:sz w:val="24"/>
                <w:szCs w:val="24"/>
              </w:rPr>
              <w:t xml:space="preserve">Chen et al. ([16])</w:t>
            </w:r>
          </w:p>
        </w:tc>
        <w:tc>
          <w:tcPr>
            <w:tcW w:w="1800" w:type="dxa"/>
          </w:tcPr>
          <w:p w14:paraId="1A2B3D30" w14:textId="77777777" w:rsidR="00A1B2C3" w:rsidRDefault="00A1B2C3">
            <w:r w:rsidRPr="00C4D5E6">
              <w:rPr>
                <w:rFonts w:ascii="Times New Roman" w:hAnsi="Times New Roman" w:eastAsia="宋体"/>
                <w:sz w:val="24"/>
                <w:szCs w:val="24"/>
              </w:rPr>
              <w:t xml:space="preserve">0.873</w:t>
            </w:r>
          </w:p>
        </w:tc>
        <w:tc>
          <w:tcPr>
            <w:tcW w:w="1800" w:type="dxa"/>
          </w:tcPr>
          <w:p w14:paraId="1A2B3D31" w14:textId="77777777" w:rsidR="00A1B2C3" w:rsidRDefault="00A1B2C3">
            <w:r w:rsidRPr="00C4D5E6">
              <w:rPr>
                <w:rFonts w:ascii="Times New Roman" w:hAnsi="Times New Roman" w:eastAsia="宋体"/>
                <w:sz w:val="24"/>
                <w:szCs w:val="24"/>
              </w:rPr>
              <w:t xml:space="preserve">0.793</w:t>
            </w:r>
          </w:p>
        </w:tc>
        <w:tc>
          <w:tcPr>
            <w:tcW w:w="1800" w:type="dxa"/>
          </w:tcPr>
          <w:p w14:paraId="1A2B3D32" w14:textId="77777777" w:rsidR="00A1B2C3" w:rsidRDefault="00A1B2C3">
            <w:r w:rsidRPr="00C4D5E6">
              <w:rPr>
                <w:rFonts w:ascii="Times New Roman" w:hAnsi="Times New Roman" w:eastAsia="宋体"/>
                <w:sz w:val="24"/>
                <w:szCs w:val="24"/>
              </w:rPr>
              <w:t xml:space="preserve">0.961</w:t>
            </w:r>
          </w:p>
        </w:tc>
      </w:tr>
      <w:tr>
        <w:tc>
          <w:tcPr>
            <w:tcW w:w="1800" w:type="dxa"/>
          </w:tcPr>
          <w:p w14:paraId="1A2B3D33" w14:textId="77777777" w:rsidR="00A1B2C3" w:rsidRDefault="00A1B2C3"/>
        </w:tc>
        <w:tc>
          <w:tcPr>
            <w:tcW w:w="1800" w:type="dxa"/>
          </w:tcPr>
          <w:p w14:paraId="1A2B3D34" w14:textId="77777777" w:rsidR="00A1B2C3" w:rsidRDefault="00A1B2C3">
            <w:r w:rsidRPr="00C4D5E6">
              <w:rPr>
                <w:rFonts w:ascii="Times New Roman" w:hAnsi="Times New Roman" w:eastAsia="宋体"/>
                <w:sz w:val="24"/>
                <w:szCs w:val="24"/>
              </w:rPr>
              <w:t xml:space="preserve">Chen et al. ([17])</w:t>
            </w:r>
          </w:p>
        </w:tc>
        <w:tc>
          <w:tcPr>
            <w:tcW w:w="1800" w:type="dxa"/>
          </w:tcPr>
          <w:p w14:paraId="1A2B3D35" w14:textId="77777777" w:rsidR="00A1B2C3" w:rsidRDefault="00A1B2C3">
            <w:r w:rsidRPr="00C4D5E6">
              <w:rPr>
                <w:rFonts w:ascii="Times New Roman" w:hAnsi="Times New Roman" w:eastAsia="宋体"/>
                <w:sz w:val="24"/>
                <w:szCs w:val="24"/>
              </w:rPr>
              <w:t xml:space="preserve">0.915</w:t>
            </w:r>
          </w:p>
        </w:tc>
        <w:tc>
          <w:tcPr>
            <w:tcW w:w="1800" w:type="dxa"/>
          </w:tcPr>
          <w:p w14:paraId="1A2B3D36" w14:textId="77777777" w:rsidR="00A1B2C3" w:rsidRDefault="00A1B2C3">
            <w:r w:rsidRPr="00C4D5E6">
              <w:rPr>
                <w:rFonts w:ascii="Times New Roman" w:hAnsi="Times New Roman" w:eastAsia="宋体"/>
                <w:sz w:val="24"/>
                <w:szCs w:val="24"/>
              </w:rPr>
              <w:t xml:space="preserve">0.831</w:t>
            </w:r>
          </w:p>
        </w:tc>
        <w:tc>
          <w:tcPr>
            <w:tcW w:w="1800" w:type="dxa"/>
          </w:tcPr>
          <w:p w14:paraId="1A2B3D37" w14:textId="77777777" w:rsidR="00A1B2C3" w:rsidRDefault="00A1B2C3">
            <w:r w:rsidRPr="00C4D5E6">
              <w:rPr>
                <w:rFonts w:ascii="Times New Roman" w:hAnsi="Times New Roman" w:eastAsia="宋体"/>
                <w:sz w:val="24"/>
                <w:szCs w:val="24"/>
              </w:rPr>
              <w:t xml:space="preserve">1.007</w:t>
            </w:r>
          </w:p>
        </w:tc>
      </w:tr>
      <w:tr>
        <w:tc>
          <w:tcPr>
            <w:tcW w:w="1800" w:type="dxa"/>
          </w:tcPr>
          <w:p w14:paraId="1A2B3D38" w14:textId="77777777" w:rsidR="00A1B2C3" w:rsidRDefault="00A1B2C3"/>
        </w:tc>
        <w:tc>
          <w:tcPr>
            <w:tcW w:w="1800" w:type="dxa"/>
          </w:tcPr>
          <w:p w14:paraId="1A2B3D39" w14:textId="77777777" w:rsidR="00A1B2C3" w:rsidRDefault="00A1B2C3">
            <w:r w:rsidRPr="00C4D5E6">
              <w:rPr>
                <w:rFonts w:ascii="Times New Roman" w:hAnsi="Times New Roman" w:eastAsia="宋体"/>
                <w:sz w:val="24"/>
                <w:szCs w:val="24"/>
              </w:rPr>
              <w:t xml:space="preserve">Chen et al. ([18])</w:t>
            </w:r>
          </w:p>
        </w:tc>
        <w:tc>
          <w:tcPr>
            <w:tcW w:w="1800" w:type="dxa"/>
          </w:tcPr>
          <w:p w14:paraId="1A2B3D3A" w14:textId="77777777" w:rsidR="00A1B2C3" w:rsidRDefault="00A1B2C3">
            <w:r w:rsidRPr="00C4D5E6">
              <w:rPr>
                <w:rFonts w:ascii="Times New Roman" w:hAnsi="Times New Roman" w:eastAsia="宋体"/>
                <w:sz w:val="24"/>
                <w:szCs w:val="24"/>
              </w:rPr>
              <w:t xml:space="preserve">0.923</w:t>
            </w:r>
          </w:p>
        </w:tc>
        <w:tc>
          <w:tcPr>
            <w:tcW w:w="1800" w:type="dxa"/>
          </w:tcPr>
          <w:p w14:paraId="1A2B3D3B" w14:textId="77777777" w:rsidR="00A1B2C3" w:rsidRDefault="00A1B2C3">
            <w:r w:rsidRPr="00C4D5E6">
              <w:rPr>
                <w:rFonts w:ascii="Times New Roman" w:hAnsi="Times New Roman" w:eastAsia="宋体"/>
                <w:sz w:val="24"/>
                <w:szCs w:val="24"/>
              </w:rPr>
              <w:t xml:space="preserve">0.843</w:t>
            </w:r>
          </w:p>
        </w:tc>
        <w:tc>
          <w:tcPr>
            <w:tcW w:w="1800" w:type="dxa"/>
          </w:tcPr>
          <w:p w14:paraId="1A2B3D3C" w14:textId="77777777" w:rsidR="00A1B2C3" w:rsidRDefault="00A1B2C3">
            <w:r w:rsidRPr="00C4D5E6">
              <w:rPr>
                <w:rFonts w:ascii="Times New Roman" w:hAnsi="Times New Roman" w:eastAsia="宋体"/>
                <w:sz w:val="24"/>
                <w:szCs w:val="24"/>
              </w:rPr>
              <w:t xml:space="preserve">1.009</w:t>
            </w:r>
          </w:p>
        </w:tc>
      </w:tr>
      <w:tr>
        <w:tc>
          <w:tcPr>
            <w:tcW w:w="1800" w:type="dxa"/>
          </w:tcPr>
          <w:p w14:paraId="1A2B3D3D" w14:textId="77777777" w:rsidR="00A1B2C3" w:rsidRDefault="00A1B2C3"/>
        </w:tc>
        <w:tc>
          <w:tcPr>
            <w:tcW w:w="1800" w:type="dxa"/>
          </w:tcPr>
          <w:p w14:paraId="1A2B3D3E" w14:textId="77777777" w:rsidR="00A1B2C3" w:rsidRDefault="00A1B2C3">
            <w:r w:rsidRPr="00C4D5E6">
              <w:rPr>
                <w:rFonts w:ascii="Times New Roman" w:hAnsi="Times New Roman" w:eastAsia="宋体"/>
                <w:sz w:val="24"/>
                <w:szCs w:val="24"/>
              </w:rPr>
              <w:t xml:space="preserve">Koh et al. ([19])</w:t>
            </w:r>
          </w:p>
        </w:tc>
        <w:tc>
          <w:tcPr>
            <w:tcW w:w="1800" w:type="dxa"/>
          </w:tcPr>
          <w:p w14:paraId="1A2B3D3F" w14:textId="77777777" w:rsidR="00A1B2C3" w:rsidRDefault="00A1B2C3">
            <w:r w:rsidRPr="00C4D5E6">
              <w:rPr>
                <w:rFonts w:ascii="Times New Roman" w:hAnsi="Times New Roman" w:eastAsia="宋体"/>
                <w:sz w:val="24"/>
                <w:szCs w:val="24"/>
              </w:rPr>
              <w:t xml:space="preserve">0.918</w:t>
            </w:r>
          </w:p>
        </w:tc>
        <w:tc>
          <w:tcPr>
            <w:tcW w:w="1800" w:type="dxa"/>
          </w:tcPr>
          <w:p w14:paraId="1A2B3D40" w14:textId="77777777" w:rsidR="00A1B2C3" w:rsidRDefault="00A1B2C3">
            <w:r w:rsidRPr="00C4D5E6">
              <w:rPr>
                <w:rFonts w:ascii="Times New Roman" w:hAnsi="Times New Roman" w:eastAsia="宋体"/>
                <w:sz w:val="24"/>
                <w:szCs w:val="24"/>
              </w:rPr>
              <w:t xml:space="preserve">0.840</w:t>
            </w:r>
          </w:p>
        </w:tc>
        <w:tc>
          <w:tcPr>
            <w:tcW w:w="1800" w:type="dxa"/>
          </w:tcPr>
          <w:p w14:paraId="1A2B3D41" w14:textId="77777777" w:rsidR="00A1B2C3" w:rsidRDefault="00A1B2C3">
            <w:r w:rsidRPr="00C4D5E6">
              <w:rPr>
                <w:rFonts w:ascii="Times New Roman" w:hAnsi="Times New Roman" w:eastAsia="宋体"/>
                <w:sz w:val="24"/>
                <w:szCs w:val="24"/>
              </w:rPr>
              <w:t xml:space="preserve">1.003</w:t>
            </w:r>
          </w:p>
        </w:tc>
      </w:tr>
      <w:tr>
        <w:tc>
          <w:tcPr>
            <w:tcW w:w="1800" w:type="dxa"/>
          </w:tcPr>
          <w:p w14:paraId="1A2B3D42" w14:textId="77777777" w:rsidR="00A1B2C3" w:rsidRDefault="00A1B2C3"/>
        </w:tc>
        <w:tc>
          <w:tcPr>
            <w:tcW w:w="1800" w:type="dxa"/>
          </w:tcPr>
          <w:p w14:paraId="1A2B3D43" w14:textId="77777777" w:rsidR="00A1B2C3" w:rsidRDefault="00A1B2C3">
            <w:r w:rsidRPr="00C4D5E6">
              <w:rPr>
                <w:rFonts w:ascii="Times New Roman" w:hAnsi="Times New Roman" w:eastAsia="宋体"/>
                <w:sz w:val="24"/>
                <w:szCs w:val="24"/>
              </w:rPr>
              <w:t xml:space="preserve">Zhang et al. ([20])</w:t>
            </w:r>
          </w:p>
        </w:tc>
        <w:tc>
          <w:tcPr>
            <w:tcW w:w="1800" w:type="dxa"/>
          </w:tcPr>
          <w:p w14:paraId="1A2B3D44" w14:textId="77777777" w:rsidR="00A1B2C3" w:rsidRDefault="00A1B2C3">
            <w:r w:rsidRPr="00C4D5E6">
              <w:rPr>
                <w:rFonts w:ascii="Times New Roman" w:hAnsi="Times New Roman" w:eastAsia="宋体"/>
                <w:sz w:val="24"/>
                <w:szCs w:val="24"/>
              </w:rPr>
              <w:t xml:space="preserve">0.941</w:t>
            </w:r>
          </w:p>
        </w:tc>
        <w:tc>
          <w:tcPr>
            <w:tcW w:w="1800" w:type="dxa"/>
          </w:tcPr>
          <w:p w14:paraId="1A2B3D45" w14:textId="77777777" w:rsidR="00A1B2C3" w:rsidRDefault="00A1B2C3">
            <w:r w:rsidRPr="00C4D5E6">
              <w:rPr>
                <w:rFonts w:ascii="Times New Roman" w:hAnsi="Times New Roman" w:eastAsia="宋体"/>
                <w:sz w:val="24"/>
                <w:szCs w:val="24"/>
              </w:rPr>
              <w:t xml:space="preserve">0.858</w:t>
            </w:r>
          </w:p>
        </w:tc>
        <w:tc>
          <w:tcPr>
            <w:tcW w:w="1800" w:type="dxa"/>
          </w:tcPr>
          <w:p w14:paraId="1A2B3D46" w14:textId="77777777" w:rsidR="00A1B2C3" w:rsidRDefault="00A1B2C3">
            <w:r w:rsidRPr="00C4D5E6">
              <w:rPr>
                <w:rFonts w:ascii="Times New Roman" w:hAnsi="Times New Roman" w:eastAsia="宋体"/>
                <w:sz w:val="24"/>
                <w:szCs w:val="24"/>
              </w:rPr>
              <w:t xml:space="preserve">1.032</w:t>
            </w:r>
          </w:p>
        </w:tc>
      </w:tr>
      <w:tr>
        <w:tc>
          <w:tcPr>
            <w:tcW w:w="1800" w:type="dxa"/>
          </w:tcPr>
          <w:p w14:paraId="1A2B3D47" w14:textId="77777777" w:rsidR="00A1B2C3" w:rsidRDefault="00A1B2C3"/>
        </w:tc>
        <w:tc>
          <w:tcPr>
            <w:tcW w:w="1800" w:type="dxa"/>
          </w:tcPr>
          <w:p w14:paraId="1A2B3D48" w14:textId="77777777" w:rsidR="00A1B2C3" w:rsidRDefault="00A1B2C3">
            <w:r w:rsidRPr="00C4D5E6">
              <w:rPr>
                <w:rFonts w:ascii="Times New Roman" w:hAnsi="Times New Roman" w:eastAsia="宋体"/>
                <w:sz w:val="24"/>
                <w:szCs w:val="24"/>
              </w:rPr>
              <w:t xml:space="preserve">Combined</w:t>
            </w:r>
          </w:p>
        </w:tc>
        <w:tc>
          <w:tcPr>
            <w:tcW w:w="1800" w:type="dxa"/>
          </w:tcPr>
          <w:p w14:paraId="1A2B3D49" w14:textId="77777777" w:rsidR="00A1B2C3" w:rsidRDefault="00A1B2C3">
            <w:r w:rsidRPr="00C4D5E6">
              <w:rPr>
                <w:rFonts w:ascii="Times New Roman" w:hAnsi="Times New Roman" w:eastAsia="宋体"/>
                <w:sz w:val="24"/>
                <w:szCs w:val="24"/>
              </w:rPr>
              <w:t xml:space="preserve">0.914</w:t>
            </w:r>
          </w:p>
        </w:tc>
        <w:tc>
          <w:tcPr>
            <w:tcW w:w="1800" w:type="dxa"/>
          </w:tcPr>
          <w:p w14:paraId="1A2B3D4A" w14:textId="77777777" w:rsidR="00A1B2C3" w:rsidRDefault="00A1B2C3">
            <w:r w:rsidRPr="00C4D5E6">
              <w:rPr>
                <w:rFonts w:ascii="Times New Roman" w:hAnsi="Times New Roman" w:eastAsia="宋体"/>
                <w:sz w:val="24"/>
                <w:szCs w:val="24"/>
              </w:rPr>
              <w:t xml:space="preserve">0.840</w:t>
            </w:r>
          </w:p>
        </w:tc>
        <w:tc>
          <w:tcPr>
            <w:tcW w:w="1800" w:type="dxa"/>
          </w:tcPr>
          <w:p w14:paraId="1A2B3D4B" w14:textId="77777777" w:rsidR="00A1B2C3" w:rsidRDefault="00A1B2C3">
            <w:r w:rsidRPr="00C4D5E6">
              <w:rPr>
                <w:rFonts w:ascii="Times New Roman" w:hAnsi="Times New Roman" w:eastAsia="宋体"/>
                <w:sz w:val="24"/>
                <w:szCs w:val="24"/>
              </w:rPr>
              <w:t xml:space="preserve">0.995</w:t>
            </w:r>
          </w:p>
        </w:tc>
      </w:tr>
      <w:tr>
        <w:tc>
          <w:tcPr>
            <w:tcW w:w="1800" w:type="dxa"/>
          </w:tcPr>
          <w:p w14:paraId="1A2B3D4C" w14:textId="77777777" w:rsidR="00A1B2C3" w:rsidRDefault="00A1B2C3">
            <w:r w:rsidRPr="00C4D5E6">
              <w:rPr>
                <w:rFonts w:ascii="Times New Roman" w:hAnsi="Times New Roman" w:eastAsia="宋体"/>
                <w:sz w:val="24"/>
                <w:szCs w:val="24"/>
              </w:rPr>
              <w:t xml:space="preserve">Five-year OS rate</w:t>
            </w:r>
          </w:p>
        </w:tc>
        <w:tc>
          <w:tcPr>
            <w:tcW w:w="1800" w:type="dxa"/>
          </w:tcPr>
          <w:p w14:paraId="1A2B3D4D" w14:textId="77777777" w:rsidR="00A1B2C3" w:rsidRDefault="00A1B2C3">
            <w:r w:rsidRPr="00C4D5E6">
              <w:rPr>
                <w:rFonts w:ascii="Times New Roman" w:hAnsi="Times New Roman" w:eastAsia="宋体"/>
                <w:sz w:val="24"/>
                <w:szCs w:val="24"/>
              </w:rPr>
              <w:t xml:space="preserve">Chen et al. ([16])</w:t>
            </w:r>
          </w:p>
        </w:tc>
        <w:tc>
          <w:tcPr>
            <w:tcW w:w="1800" w:type="dxa"/>
          </w:tcPr>
          <w:p w14:paraId="1A2B3D4E" w14:textId="77777777" w:rsidR="00A1B2C3" w:rsidRDefault="00A1B2C3">
            <w:r w:rsidRPr="00C4D5E6">
              <w:rPr>
                <w:rFonts w:ascii="Times New Roman" w:hAnsi="Times New Roman" w:eastAsia="宋体"/>
                <w:sz w:val="24"/>
                <w:szCs w:val="24"/>
              </w:rPr>
              <w:t xml:space="preserve">0.902</w:t>
            </w:r>
          </w:p>
        </w:tc>
        <w:tc>
          <w:tcPr>
            <w:tcW w:w="1800" w:type="dxa"/>
          </w:tcPr>
          <w:p w14:paraId="1A2B3D4F" w14:textId="77777777" w:rsidR="00A1B2C3" w:rsidRDefault="00A1B2C3">
            <w:r w:rsidRPr="00C4D5E6">
              <w:rPr>
                <w:rFonts w:ascii="Times New Roman" w:hAnsi="Times New Roman" w:eastAsia="宋体"/>
                <w:sz w:val="24"/>
                <w:szCs w:val="24"/>
              </w:rPr>
              <w:t xml:space="preserve">0.810</w:t>
            </w:r>
          </w:p>
        </w:tc>
        <w:tc>
          <w:tcPr>
            <w:tcW w:w="1800" w:type="dxa"/>
          </w:tcPr>
          <w:p w14:paraId="1A2B3D50" w14:textId="77777777" w:rsidR="00A1B2C3" w:rsidRDefault="00A1B2C3">
            <w:r w:rsidRPr="00C4D5E6">
              <w:rPr>
                <w:rFonts w:ascii="Times New Roman" w:hAnsi="Times New Roman" w:eastAsia="宋体"/>
                <w:sz w:val="24"/>
                <w:szCs w:val="24"/>
              </w:rPr>
              <w:t xml:space="preserve">1.004</w:t>
            </w:r>
          </w:p>
        </w:tc>
      </w:tr>
      <w:tr>
        <w:tc>
          <w:tcPr>
            <w:tcW w:w="1800" w:type="dxa"/>
          </w:tcPr>
          <w:p w14:paraId="1A2B3D51" w14:textId="77777777" w:rsidR="00A1B2C3" w:rsidRDefault="00A1B2C3"/>
        </w:tc>
        <w:tc>
          <w:tcPr>
            <w:tcW w:w="1800" w:type="dxa"/>
          </w:tcPr>
          <w:p w14:paraId="1A2B3D52" w14:textId="77777777" w:rsidR="00A1B2C3" w:rsidRDefault="00A1B2C3">
            <w:r w:rsidRPr="00C4D5E6">
              <w:rPr>
                <w:rFonts w:ascii="Times New Roman" w:hAnsi="Times New Roman" w:eastAsia="宋体"/>
                <w:sz w:val="24"/>
                <w:szCs w:val="24"/>
              </w:rPr>
              <w:t xml:space="preserve">Chen et al. ([17])</w:t>
            </w:r>
          </w:p>
        </w:tc>
        <w:tc>
          <w:tcPr>
            <w:tcW w:w="1800" w:type="dxa"/>
          </w:tcPr>
          <w:p w14:paraId="1A2B3D53" w14:textId="77777777" w:rsidR="00A1B2C3" w:rsidRDefault="00A1B2C3">
            <w:r w:rsidRPr="00C4D5E6">
              <w:rPr>
                <w:rFonts w:ascii="Times New Roman" w:hAnsi="Times New Roman" w:eastAsia="宋体"/>
                <w:sz w:val="24"/>
                <w:szCs w:val="24"/>
              </w:rPr>
              <w:t xml:space="preserve">0.971</w:t>
            </w:r>
          </w:p>
        </w:tc>
        <w:tc>
          <w:tcPr>
            <w:tcW w:w="1800" w:type="dxa"/>
          </w:tcPr>
          <w:p w14:paraId="1A2B3D54" w14:textId="77777777" w:rsidR="00A1B2C3" w:rsidRDefault="00A1B2C3">
            <w:r w:rsidRPr="00C4D5E6">
              <w:rPr>
                <w:rFonts w:ascii="Times New Roman" w:hAnsi="Times New Roman" w:eastAsia="宋体"/>
                <w:sz w:val="24"/>
                <w:szCs w:val="24"/>
              </w:rPr>
              <w:t xml:space="preserve">0.893</w:t>
            </w:r>
          </w:p>
        </w:tc>
        <w:tc>
          <w:tcPr>
            <w:tcW w:w="1800" w:type="dxa"/>
          </w:tcPr>
          <w:p w14:paraId="1A2B3D55" w14:textId="77777777" w:rsidR="00A1B2C3" w:rsidRDefault="00A1B2C3">
            <w:r w:rsidRPr="00C4D5E6">
              <w:rPr>
                <w:rFonts w:ascii="Times New Roman" w:hAnsi="Times New Roman" w:eastAsia="宋体"/>
                <w:sz w:val="24"/>
                <w:szCs w:val="24"/>
              </w:rPr>
              <w:t xml:space="preserve">1.056</w:t>
            </w:r>
          </w:p>
        </w:tc>
      </w:tr>
      <w:tr>
        <w:tc>
          <w:tcPr>
            <w:tcW w:w="1800" w:type="dxa"/>
          </w:tcPr>
          <w:p w14:paraId="1A2B3D56" w14:textId="77777777" w:rsidR="00A1B2C3" w:rsidRDefault="00A1B2C3"/>
        </w:tc>
        <w:tc>
          <w:tcPr>
            <w:tcW w:w="1800" w:type="dxa"/>
          </w:tcPr>
          <w:p w14:paraId="1A2B3D57" w14:textId="77777777" w:rsidR="00A1B2C3" w:rsidRDefault="00A1B2C3">
            <w:r w:rsidRPr="00C4D5E6">
              <w:rPr>
                <w:rFonts w:ascii="Times New Roman" w:hAnsi="Times New Roman" w:eastAsia="宋体"/>
                <w:sz w:val="24"/>
                <w:szCs w:val="24"/>
              </w:rPr>
              <w:t xml:space="preserve">Chen et al. ([18])</w:t>
            </w:r>
          </w:p>
        </w:tc>
        <w:tc>
          <w:tcPr>
            <w:tcW w:w="1800" w:type="dxa"/>
          </w:tcPr>
          <w:p w14:paraId="1A2B3D58" w14:textId="77777777" w:rsidR="00A1B2C3" w:rsidRDefault="00A1B2C3">
            <w:r w:rsidRPr="00C4D5E6">
              <w:rPr>
                <w:rFonts w:ascii="Times New Roman" w:hAnsi="Times New Roman" w:eastAsia="宋体"/>
                <w:sz w:val="24"/>
                <w:szCs w:val="24"/>
              </w:rPr>
              <w:t xml:space="preserve">0.994</w:t>
            </w:r>
          </w:p>
        </w:tc>
        <w:tc>
          <w:tcPr>
            <w:tcW w:w="1800" w:type="dxa"/>
          </w:tcPr>
          <w:p w14:paraId="1A2B3D59" w14:textId="77777777" w:rsidR="00A1B2C3" w:rsidRDefault="00A1B2C3">
            <w:r w:rsidRPr="00C4D5E6">
              <w:rPr>
                <w:rFonts w:ascii="Times New Roman" w:hAnsi="Times New Roman" w:eastAsia="宋体"/>
                <w:sz w:val="24"/>
                <w:szCs w:val="24"/>
              </w:rPr>
              <w:t xml:space="preserve">0.912</w:t>
            </w:r>
          </w:p>
        </w:tc>
        <w:tc>
          <w:tcPr>
            <w:tcW w:w="1800" w:type="dxa"/>
          </w:tcPr>
          <w:p w14:paraId="1A2B3D5A" w14:textId="77777777" w:rsidR="00A1B2C3" w:rsidRDefault="00A1B2C3">
            <w:r w:rsidRPr="00C4D5E6">
              <w:rPr>
                <w:rFonts w:ascii="Times New Roman" w:hAnsi="Times New Roman" w:eastAsia="宋体"/>
                <w:sz w:val="24"/>
                <w:szCs w:val="24"/>
              </w:rPr>
              <w:t xml:space="preserve">1.078</w:t>
            </w:r>
          </w:p>
        </w:tc>
      </w:tr>
      <w:tr>
        <w:tc>
          <w:tcPr>
            <w:tcW w:w="1800" w:type="dxa"/>
          </w:tcPr>
          <w:p w14:paraId="1A2B3D5B" w14:textId="77777777" w:rsidR="00A1B2C3" w:rsidRDefault="00A1B2C3"/>
        </w:tc>
        <w:tc>
          <w:tcPr>
            <w:tcW w:w="1800" w:type="dxa"/>
          </w:tcPr>
          <w:p w14:paraId="1A2B3D5C" w14:textId="77777777" w:rsidR="00A1B2C3" w:rsidRDefault="00A1B2C3">
            <w:r w:rsidRPr="00C4D5E6">
              <w:rPr>
                <w:rFonts w:ascii="Times New Roman" w:hAnsi="Times New Roman" w:eastAsia="宋体"/>
                <w:sz w:val="24"/>
                <w:szCs w:val="24"/>
              </w:rPr>
              <w:t xml:space="preserve">Zhang et al. ([20])</w:t>
            </w:r>
          </w:p>
        </w:tc>
        <w:tc>
          <w:tcPr>
            <w:tcW w:w="1800" w:type="dxa"/>
          </w:tcPr>
          <w:p w14:paraId="1A2B3D5D" w14:textId="77777777" w:rsidR="00A1B2C3" w:rsidRDefault="00A1B2C3">
            <w:r w:rsidRPr="00C4D5E6">
              <w:rPr>
                <w:rFonts w:ascii="Times New Roman" w:hAnsi="Times New Roman" w:eastAsia="宋体"/>
                <w:sz w:val="24"/>
                <w:szCs w:val="24"/>
              </w:rPr>
              <w:t xml:space="preserve">1.017</w:t>
            </w:r>
          </w:p>
        </w:tc>
        <w:tc>
          <w:tcPr>
            <w:tcW w:w="1800" w:type="dxa"/>
          </w:tcPr>
          <w:p w14:paraId="1A2B3D5E" w14:textId="77777777" w:rsidR="00A1B2C3" w:rsidRDefault="00A1B2C3">
            <w:r w:rsidRPr="00C4D5E6">
              <w:rPr>
                <w:rFonts w:ascii="Times New Roman" w:hAnsi="Times New Roman" w:eastAsia="宋体"/>
                <w:sz w:val="24"/>
                <w:szCs w:val="24"/>
              </w:rPr>
              <w:t xml:space="preserve">0.935</w:t>
            </w:r>
          </w:p>
        </w:tc>
        <w:tc>
          <w:tcPr>
            <w:tcW w:w="1800" w:type="dxa"/>
          </w:tcPr>
          <w:p w14:paraId="1A2B3D5F" w14:textId="77777777" w:rsidR="00A1B2C3" w:rsidRDefault="00A1B2C3">
            <w:r w:rsidRPr="00C4D5E6">
              <w:rPr>
                <w:rFonts w:ascii="Times New Roman" w:hAnsi="Times New Roman" w:eastAsia="宋体"/>
                <w:sz w:val="24"/>
                <w:szCs w:val="24"/>
              </w:rPr>
              <w:t xml:space="preserve">1.106</w:t>
            </w:r>
          </w:p>
        </w:tc>
      </w:tr>
      <w:tr>
        <w:tc>
          <w:tcPr>
            <w:tcW w:w="1800" w:type="dxa"/>
          </w:tcPr>
          <w:p w14:paraId="1A2B3D60" w14:textId="77777777" w:rsidR="00A1B2C3" w:rsidRDefault="00A1B2C3"/>
        </w:tc>
        <w:tc>
          <w:tcPr>
            <w:tcW w:w="1800" w:type="dxa"/>
          </w:tcPr>
          <w:p w14:paraId="1A2B3D61" w14:textId="77777777" w:rsidR="00A1B2C3" w:rsidRDefault="00A1B2C3">
            <w:r w:rsidRPr="00C4D5E6">
              <w:rPr>
                <w:rFonts w:ascii="Times New Roman" w:hAnsi="Times New Roman" w:eastAsia="宋体"/>
                <w:sz w:val="24"/>
                <w:szCs w:val="24"/>
              </w:rPr>
              <w:t xml:space="preserve">Combined</w:t>
            </w:r>
          </w:p>
        </w:tc>
        <w:tc>
          <w:tcPr>
            <w:tcW w:w="1800" w:type="dxa"/>
          </w:tcPr>
          <w:p w14:paraId="1A2B3D62" w14:textId="77777777" w:rsidR="00A1B2C3" w:rsidRDefault="00A1B2C3">
            <w:r w:rsidRPr="00C4D5E6">
              <w:rPr>
                <w:rFonts w:ascii="Times New Roman" w:hAnsi="Times New Roman" w:eastAsia="宋体"/>
                <w:sz w:val="24"/>
                <w:szCs w:val="24"/>
              </w:rPr>
              <w:t xml:space="preserve">0.977</w:t>
            </w:r>
          </w:p>
        </w:tc>
        <w:tc>
          <w:tcPr>
            <w:tcW w:w="1800" w:type="dxa"/>
          </w:tcPr>
          <w:p w14:paraId="1A2B3D63" w14:textId="77777777" w:rsidR="00A1B2C3" w:rsidRDefault="00A1B2C3">
            <w:r w:rsidRPr="00C4D5E6">
              <w:rPr>
                <w:rFonts w:ascii="Times New Roman" w:hAnsi="Times New Roman" w:eastAsia="宋体"/>
                <w:sz w:val="24"/>
                <w:szCs w:val="24"/>
              </w:rPr>
              <w:t xml:space="preserve">0.906</w:t>
            </w:r>
          </w:p>
        </w:tc>
        <w:tc>
          <w:tcPr>
            <w:tcW w:w="1800" w:type="dxa"/>
          </w:tcPr>
          <w:p w14:paraId="1A2B3D64" w14:textId="77777777" w:rsidR="00A1B2C3" w:rsidRDefault="00A1B2C3">
            <w:r w:rsidRPr="00C4D5E6">
              <w:rPr>
                <w:rFonts w:ascii="Times New Roman" w:hAnsi="Times New Roman" w:eastAsia="宋体"/>
                <w:sz w:val="24"/>
                <w:szCs w:val="24"/>
              </w:rPr>
              <w:t xml:space="preserve">1.054</w:t>
            </w:r>
          </w:p>
        </w:tc>
      </w:tr>
      <w:tr>
        <w:tc>
          <w:tcPr>
            <w:tcW w:w="1800" w:type="dxa"/>
          </w:tcPr>
          <w:p w14:paraId="1A2B3D65" w14:textId="77777777" w:rsidR="00A1B2C3" w:rsidRDefault="00A1B2C3">
            <w:r w:rsidRPr="00C4D5E6">
              <w:rPr>
                <w:rFonts w:ascii="Times New Roman" w:hAnsi="Times New Roman" w:eastAsia="宋体"/>
                <w:sz w:val="24"/>
                <w:szCs w:val="24"/>
              </w:rPr>
              <w:t xml:space="preserve">LRR</w:t>
            </w:r>
          </w:p>
        </w:tc>
        <w:tc>
          <w:tcPr>
            <w:tcW w:w="1800" w:type="dxa"/>
          </w:tcPr>
          <w:p w14:paraId="1A2B3D66" w14:textId="77777777" w:rsidR="00A1B2C3" w:rsidRDefault="00A1B2C3">
            <w:r w:rsidRPr="00C4D5E6">
              <w:rPr>
                <w:rFonts w:ascii="Times New Roman" w:hAnsi="Times New Roman" w:eastAsia="宋体"/>
                <w:sz w:val="24"/>
                <w:szCs w:val="24"/>
              </w:rPr>
              <w:t xml:space="preserve">Wu et al. ([15])</w:t>
            </w:r>
          </w:p>
        </w:tc>
        <w:tc>
          <w:tcPr>
            <w:tcW w:w="1800" w:type="dxa"/>
          </w:tcPr>
          <w:p w14:paraId="1A2B3D67" w14:textId="77777777" w:rsidR="00A1B2C3" w:rsidRDefault="00A1B2C3">
            <w:r w:rsidRPr="00C4D5E6">
              <w:rPr>
                <w:rFonts w:ascii="Times New Roman" w:hAnsi="Times New Roman" w:eastAsia="宋体"/>
                <w:sz w:val="24"/>
                <w:szCs w:val="24"/>
              </w:rPr>
              <w:t xml:space="preserve">0.965</w:t>
            </w:r>
          </w:p>
        </w:tc>
        <w:tc>
          <w:tcPr>
            <w:tcW w:w="1800" w:type="dxa"/>
          </w:tcPr>
          <w:p w14:paraId="1A2B3D68" w14:textId="77777777" w:rsidR="00A1B2C3" w:rsidRDefault="00A1B2C3">
            <w:r w:rsidRPr="00C4D5E6">
              <w:rPr>
                <w:rFonts w:ascii="Times New Roman" w:hAnsi="Times New Roman" w:eastAsia="宋体"/>
                <w:sz w:val="24"/>
                <w:szCs w:val="24"/>
              </w:rPr>
              <w:t xml:space="preserve">0.717</w:t>
            </w:r>
          </w:p>
        </w:tc>
        <w:tc>
          <w:tcPr>
            <w:tcW w:w="1800" w:type="dxa"/>
          </w:tcPr>
          <w:p w14:paraId="1A2B3D69" w14:textId="77777777" w:rsidR="00A1B2C3" w:rsidRDefault="00A1B2C3">
            <w:r w:rsidRPr="00C4D5E6">
              <w:rPr>
                <w:rFonts w:ascii="Times New Roman" w:hAnsi="Times New Roman" w:eastAsia="宋体"/>
                <w:sz w:val="24"/>
                <w:szCs w:val="24"/>
              </w:rPr>
              <w:t xml:space="preserve">1.299</w:t>
            </w:r>
          </w:p>
        </w:tc>
      </w:tr>
      <w:tr>
        <w:tc>
          <w:tcPr>
            <w:tcW w:w="1800" w:type="dxa"/>
          </w:tcPr>
          <w:p w14:paraId="1A2B3D6A" w14:textId="77777777" w:rsidR="00A1B2C3" w:rsidRDefault="00A1B2C3"/>
        </w:tc>
        <w:tc>
          <w:tcPr>
            <w:tcW w:w="1800" w:type="dxa"/>
          </w:tcPr>
          <w:p w14:paraId="1A2B3D6B" w14:textId="77777777" w:rsidR="00A1B2C3" w:rsidRDefault="00A1B2C3">
            <w:r w:rsidRPr="00C4D5E6">
              <w:rPr>
                <w:rFonts w:ascii="Times New Roman" w:hAnsi="Times New Roman" w:eastAsia="宋体"/>
                <w:sz w:val="24"/>
                <w:szCs w:val="24"/>
              </w:rPr>
              <w:t xml:space="preserve">Chen et al. ([16])</w:t>
            </w:r>
          </w:p>
        </w:tc>
        <w:tc>
          <w:tcPr>
            <w:tcW w:w="1800" w:type="dxa"/>
          </w:tcPr>
          <w:p w14:paraId="1A2B3D6C" w14:textId="77777777" w:rsidR="00A1B2C3" w:rsidRDefault="00A1B2C3">
            <w:r w:rsidRPr="00C4D5E6">
              <w:rPr>
                <w:rFonts w:ascii="Times New Roman" w:hAnsi="Times New Roman" w:eastAsia="宋体"/>
                <w:sz w:val="24"/>
                <w:szCs w:val="24"/>
              </w:rPr>
              <w:t xml:space="preserve">0.660</w:t>
            </w:r>
          </w:p>
        </w:tc>
        <w:tc>
          <w:tcPr>
            <w:tcW w:w="1800" w:type="dxa"/>
          </w:tcPr>
          <w:p w14:paraId="1A2B3D6D" w14:textId="77777777" w:rsidR="00A1B2C3" w:rsidRDefault="00A1B2C3">
            <w:r w:rsidRPr="00C4D5E6">
              <w:rPr>
                <w:rFonts w:ascii="Times New Roman" w:hAnsi="Times New Roman" w:eastAsia="宋体"/>
                <w:sz w:val="24"/>
                <w:szCs w:val="24"/>
              </w:rPr>
              <w:t xml:space="preserve">0.424</w:t>
            </w:r>
          </w:p>
        </w:tc>
        <w:tc>
          <w:tcPr>
            <w:tcW w:w="1800" w:type="dxa"/>
          </w:tcPr>
          <w:p w14:paraId="1A2B3D6E" w14:textId="77777777" w:rsidR="00A1B2C3" w:rsidRDefault="00A1B2C3">
            <w:r w:rsidRPr="00C4D5E6">
              <w:rPr>
                <w:rFonts w:ascii="Times New Roman" w:hAnsi="Times New Roman" w:eastAsia="宋体"/>
                <w:sz w:val="24"/>
                <w:szCs w:val="24"/>
              </w:rPr>
              <w:t xml:space="preserve">1.028</w:t>
            </w:r>
          </w:p>
        </w:tc>
      </w:tr>
      <w:tr>
        <w:tc>
          <w:tcPr>
            <w:tcW w:w="1800" w:type="dxa"/>
          </w:tcPr>
          <w:p w14:paraId="1A2B3D6F" w14:textId="77777777" w:rsidR="00A1B2C3" w:rsidRDefault="00A1B2C3"/>
        </w:tc>
        <w:tc>
          <w:tcPr>
            <w:tcW w:w="1800" w:type="dxa"/>
          </w:tcPr>
          <w:p w14:paraId="1A2B3D70" w14:textId="77777777" w:rsidR="00A1B2C3" w:rsidRDefault="00A1B2C3">
            <w:r w:rsidRPr="00C4D5E6">
              <w:rPr>
                <w:rFonts w:ascii="Times New Roman" w:hAnsi="Times New Roman" w:eastAsia="宋体"/>
                <w:sz w:val="24"/>
                <w:szCs w:val="24"/>
              </w:rPr>
              <w:t xml:space="preserve">Chen et al. ([17])</w:t>
            </w:r>
          </w:p>
        </w:tc>
        <w:tc>
          <w:tcPr>
            <w:tcW w:w="1800" w:type="dxa"/>
          </w:tcPr>
          <w:p w14:paraId="1A2B3D71" w14:textId="77777777" w:rsidR="00A1B2C3" w:rsidRDefault="00A1B2C3">
            <w:r w:rsidRPr="00C4D5E6">
              <w:rPr>
                <w:rFonts w:ascii="Times New Roman" w:hAnsi="Times New Roman" w:eastAsia="宋体"/>
                <w:sz w:val="24"/>
                <w:szCs w:val="24"/>
              </w:rPr>
              <w:t xml:space="preserve">0.965</w:t>
            </w:r>
          </w:p>
        </w:tc>
        <w:tc>
          <w:tcPr>
            <w:tcW w:w="1800" w:type="dxa"/>
          </w:tcPr>
          <w:p w14:paraId="1A2B3D72" w14:textId="77777777" w:rsidR="00A1B2C3" w:rsidRDefault="00A1B2C3">
            <w:r w:rsidRPr="00C4D5E6">
              <w:rPr>
                <w:rFonts w:ascii="Times New Roman" w:hAnsi="Times New Roman" w:eastAsia="宋体"/>
                <w:sz w:val="24"/>
                <w:szCs w:val="24"/>
              </w:rPr>
              <w:t xml:space="preserve">0.712</w:t>
            </w:r>
          </w:p>
        </w:tc>
        <w:tc>
          <w:tcPr>
            <w:tcW w:w="1800" w:type="dxa"/>
          </w:tcPr>
          <w:p w14:paraId="1A2B3D73" w14:textId="77777777" w:rsidR="00A1B2C3" w:rsidRDefault="00A1B2C3">
            <w:r w:rsidRPr="00C4D5E6">
              <w:rPr>
                <w:rFonts w:ascii="Times New Roman" w:hAnsi="Times New Roman" w:eastAsia="宋体"/>
                <w:sz w:val="24"/>
                <w:szCs w:val="24"/>
              </w:rPr>
              <w:t xml:space="preserve">1.306</w:t>
            </w:r>
          </w:p>
        </w:tc>
      </w:tr>
      <w:tr>
        <w:tc>
          <w:tcPr>
            <w:tcW w:w="1800" w:type="dxa"/>
          </w:tcPr>
          <w:p w14:paraId="1A2B3D74" w14:textId="77777777" w:rsidR="00A1B2C3" w:rsidRDefault="00A1B2C3"/>
        </w:tc>
        <w:tc>
          <w:tcPr>
            <w:tcW w:w="1800" w:type="dxa"/>
          </w:tcPr>
          <w:p w14:paraId="1A2B3D75" w14:textId="77777777" w:rsidR="00A1B2C3" w:rsidRDefault="00A1B2C3">
            <w:r w:rsidRPr="00C4D5E6">
              <w:rPr>
                <w:rFonts w:ascii="Times New Roman" w:hAnsi="Times New Roman" w:eastAsia="宋体"/>
                <w:sz w:val="24"/>
                <w:szCs w:val="24"/>
              </w:rPr>
              <w:t xml:space="preserve">Combined</w:t>
            </w:r>
          </w:p>
        </w:tc>
        <w:tc>
          <w:tcPr>
            <w:tcW w:w="1800" w:type="dxa"/>
          </w:tcPr>
          <w:p w14:paraId="1A2B3D76" w14:textId="77777777" w:rsidR="00A1B2C3" w:rsidRDefault="00A1B2C3">
            <w:r w:rsidRPr="00C4D5E6">
              <w:rPr>
                <w:rFonts w:ascii="Times New Roman" w:hAnsi="Times New Roman" w:eastAsia="宋体"/>
                <w:sz w:val="24"/>
                <w:szCs w:val="24"/>
              </w:rPr>
              <w:t xml:space="preserve">0.899</w:t>
            </w:r>
          </w:p>
        </w:tc>
        <w:tc>
          <w:tcPr>
            <w:tcW w:w="1800" w:type="dxa"/>
          </w:tcPr>
          <w:p w14:paraId="1A2B3D77" w14:textId="77777777" w:rsidR="00A1B2C3" w:rsidRDefault="00A1B2C3">
            <w:r w:rsidRPr="00C4D5E6">
              <w:rPr>
                <w:rFonts w:ascii="Times New Roman" w:hAnsi="Times New Roman" w:eastAsia="宋体"/>
                <w:sz w:val="24"/>
                <w:szCs w:val="24"/>
              </w:rPr>
              <w:t xml:space="preserve">0.686</w:t>
            </w:r>
          </w:p>
        </w:tc>
        <w:tc>
          <w:tcPr>
            <w:tcW w:w="1800" w:type="dxa"/>
          </w:tcPr>
          <w:p w14:paraId="1A2B3D78" w14:textId="77777777" w:rsidR="00A1B2C3" w:rsidRDefault="00A1B2C3">
            <w:r w:rsidRPr="00C4D5E6">
              <w:rPr>
                <w:rFonts w:ascii="Times New Roman" w:hAnsi="Times New Roman" w:eastAsia="宋体"/>
                <w:sz w:val="24"/>
                <w:szCs w:val="24"/>
              </w:rPr>
              <w:t xml:space="preserve">1.179</w:t>
            </w:r>
          </w:p>
        </w:tc>
      </w:tr>
      <w:tr>
        <w:tc>
          <w:tcPr>
            <w:tcW w:w="1800" w:type="dxa"/>
          </w:tcPr>
          <w:p w14:paraId="1A2B3D79" w14:textId="77777777" w:rsidR="00A1B2C3" w:rsidRDefault="00A1B2C3">
            <w:r w:rsidRPr="00C4D5E6">
              <w:rPr>
                <w:rFonts w:ascii="Times New Roman" w:hAnsi="Times New Roman" w:eastAsia="宋体"/>
                <w:sz w:val="24"/>
                <w:szCs w:val="24"/>
              </w:rPr>
              <w:t xml:space="preserve">DMR</w:t>
            </w:r>
          </w:p>
        </w:tc>
        <w:tc>
          <w:tcPr>
            <w:tcW w:w="1800" w:type="dxa"/>
          </w:tcPr>
          <w:p w14:paraId="1A2B3D7A" w14:textId="77777777" w:rsidR="00A1B2C3" w:rsidRDefault="00A1B2C3">
            <w:r w:rsidRPr="00C4D5E6">
              <w:rPr>
                <w:rFonts w:ascii="Times New Roman" w:hAnsi="Times New Roman" w:eastAsia="宋体"/>
                <w:sz w:val="24"/>
                <w:szCs w:val="24"/>
              </w:rPr>
              <w:t xml:space="preserve">Wu et al. ([15])</w:t>
            </w:r>
          </w:p>
        </w:tc>
        <w:tc>
          <w:tcPr>
            <w:tcW w:w="1800" w:type="dxa"/>
          </w:tcPr>
          <w:p w14:paraId="1A2B3D7B" w14:textId="77777777" w:rsidR="00A1B2C3" w:rsidRDefault="00A1B2C3">
            <w:r w:rsidRPr="00C4D5E6">
              <w:rPr>
                <w:rFonts w:ascii="Times New Roman" w:hAnsi="Times New Roman" w:eastAsia="宋体"/>
                <w:sz w:val="24"/>
                <w:szCs w:val="24"/>
              </w:rPr>
              <w:t xml:space="preserve">1.211</w:t>
            </w:r>
          </w:p>
        </w:tc>
        <w:tc>
          <w:tcPr>
            <w:tcW w:w="1800" w:type="dxa"/>
          </w:tcPr>
          <w:p w14:paraId="1A2B3D7C" w14:textId="77777777" w:rsidR="00A1B2C3" w:rsidRDefault="00A1B2C3">
            <w:r w:rsidRPr="00C4D5E6">
              <w:rPr>
                <w:rFonts w:ascii="Times New Roman" w:hAnsi="Times New Roman" w:eastAsia="宋体"/>
                <w:sz w:val="24"/>
                <w:szCs w:val="24"/>
              </w:rPr>
              <w:t xml:space="preserve">0.782</w:t>
            </w:r>
          </w:p>
        </w:tc>
        <w:tc>
          <w:tcPr>
            <w:tcW w:w="1800" w:type="dxa"/>
          </w:tcPr>
          <w:p w14:paraId="1A2B3D7D" w14:textId="77777777" w:rsidR="00A1B2C3" w:rsidRDefault="00A1B2C3">
            <w:r w:rsidRPr="00C4D5E6">
              <w:rPr>
                <w:rFonts w:ascii="Times New Roman" w:hAnsi="Times New Roman" w:eastAsia="宋体"/>
                <w:sz w:val="24"/>
                <w:szCs w:val="24"/>
              </w:rPr>
              <w:t xml:space="preserve">1.874</w:t>
            </w:r>
          </w:p>
        </w:tc>
      </w:tr>
      <w:tr>
        <w:tc>
          <w:tcPr>
            <w:tcW w:w="1800" w:type="dxa"/>
          </w:tcPr>
          <w:p w14:paraId="1A2B3D7E" w14:textId="77777777" w:rsidR="00A1B2C3" w:rsidRDefault="00A1B2C3"/>
        </w:tc>
        <w:tc>
          <w:tcPr>
            <w:tcW w:w="1800" w:type="dxa"/>
          </w:tcPr>
          <w:p w14:paraId="1A2B3D7F" w14:textId="77777777" w:rsidR="00A1B2C3" w:rsidRDefault="00A1B2C3">
            <w:r w:rsidRPr="00C4D5E6">
              <w:rPr>
                <w:rFonts w:ascii="Times New Roman" w:hAnsi="Times New Roman" w:eastAsia="宋体"/>
                <w:sz w:val="24"/>
                <w:szCs w:val="24"/>
              </w:rPr>
              <w:t xml:space="preserve">Chen et al. ([16])</w:t>
            </w:r>
          </w:p>
        </w:tc>
        <w:tc>
          <w:tcPr>
            <w:tcW w:w="1800" w:type="dxa"/>
          </w:tcPr>
          <w:p w14:paraId="1A2B3D80" w14:textId="77777777" w:rsidR="00A1B2C3" w:rsidRDefault="00A1B2C3">
            <w:r w:rsidRPr="00C4D5E6">
              <w:rPr>
                <w:rFonts w:ascii="Times New Roman" w:hAnsi="Times New Roman" w:eastAsia="宋体"/>
                <w:sz w:val="24"/>
                <w:szCs w:val="24"/>
              </w:rPr>
              <w:t xml:space="preserve">1.799</w:t>
            </w:r>
          </w:p>
        </w:tc>
        <w:tc>
          <w:tcPr>
            <w:tcW w:w="1800" w:type="dxa"/>
          </w:tcPr>
          <w:p w14:paraId="1A2B3D81" w14:textId="77777777" w:rsidR="00A1B2C3" w:rsidRDefault="00A1B2C3">
            <w:r w:rsidRPr="00C4D5E6">
              <w:rPr>
                <w:rFonts w:ascii="Times New Roman" w:hAnsi="Times New Roman" w:eastAsia="宋体"/>
                <w:sz w:val="24"/>
                <w:szCs w:val="24"/>
              </w:rPr>
              <w:t xml:space="preserve">1.134</w:t>
            </w:r>
          </w:p>
        </w:tc>
        <w:tc>
          <w:tcPr>
            <w:tcW w:w="1800" w:type="dxa"/>
          </w:tcPr>
          <w:p w14:paraId="1A2B3D82" w14:textId="77777777" w:rsidR="00A1B2C3" w:rsidRDefault="00A1B2C3">
            <w:r w:rsidRPr="00C4D5E6">
              <w:rPr>
                <w:rFonts w:ascii="Times New Roman" w:hAnsi="Times New Roman" w:eastAsia="宋体"/>
                <w:sz w:val="24"/>
                <w:szCs w:val="24"/>
              </w:rPr>
              <w:t xml:space="preserve">2.855</w:t>
            </w:r>
          </w:p>
        </w:tc>
      </w:tr>
      <w:tr>
        <w:tc>
          <w:tcPr>
            <w:tcW w:w="1800" w:type="dxa"/>
          </w:tcPr>
          <w:p w14:paraId="1A2B3D83" w14:textId="77777777" w:rsidR="00A1B2C3" w:rsidRDefault="00A1B2C3"/>
        </w:tc>
        <w:tc>
          <w:tcPr>
            <w:tcW w:w="1800" w:type="dxa"/>
          </w:tcPr>
          <w:p w14:paraId="1A2B3D84" w14:textId="77777777" w:rsidR="00A1B2C3" w:rsidRDefault="00A1B2C3">
            <w:r w:rsidRPr="00C4D5E6">
              <w:rPr>
                <w:rFonts w:ascii="Times New Roman" w:hAnsi="Times New Roman" w:eastAsia="宋体"/>
                <w:sz w:val="24"/>
                <w:szCs w:val="24"/>
              </w:rPr>
              <w:t xml:space="preserve">Chen et al. ([17])</w:t>
            </w:r>
          </w:p>
        </w:tc>
        <w:tc>
          <w:tcPr>
            <w:tcW w:w="1800" w:type="dxa"/>
          </w:tcPr>
          <w:p w14:paraId="1A2B3D85" w14:textId="77777777" w:rsidR="00A1B2C3" w:rsidRDefault="00A1B2C3">
            <w:r w:rsidRPr="00C4D5E6">
              <w:rPr>
                <w:rFonts w:ascii="Times New Roman" w:hAnsi="Times New Roman" w:eastAsia="宋体"/>
                <w:sz w:val="24"/>
                <w:szCs w:val="24"/>
              </w:rPr>
              <w:t xml:space="preserve">1.761</w:t>
            </w:r>
          </w:p>
        </w:tc>
        <w:tc>
          <w:tcPr>
            <w:tcW w:w="1800" w:type="dxa"/>
          </w:tcPr>
          <w:p w14:paraId="1A2B3D86" w14:textId="77777777" w:rsidR="00A1B2C3" w:rsidRDefault="00A1B2C3">
            <w:r w:rsidRPr="00C4D5E6">
              <w:rPr>
                <w:rFonts w:ascii="Times New Roman" w:hAnsi="Times New Roman" w:eastAsia="宋体"/>
                <w:sz w:val="24"/>
                <w:szCs w:val="24"/>
              </w:rPr>
              <w:t xml:space="preserve">1.145</w:t>
            </w:r>
          </w:p>
        </w:tc>
        <w:tc>
          <w:tcPr>
            <w:tcW w:w="1800" w:type="dxa"/>
          </w:tcPr>
          <w:p w14:paraId="1A2B3D87" w14:textId="77777777" w:rsidR="00A1B2C3" w:rsidRDefault="00A1B2C3">
            <w:r w:rsidRPr="00C4D5E6">
              <w:rPr>
                <w:rFonts w:ascii="Times New Roman" w:hAnsi="Times New Roman" w:eastAsia="宋体"/>
                <w:sz w:val="24"/>
                <w:szCs w:val="24"/>
              </w:rPr>
              <w:t xml:space="preserve">2.709</w:t>
            </w:r>
          </w:p>
        </w:tc>
      </w:tr>
      <w:tr>
        <w:tc>
          <w:tcPr>
            <w:tcW w:w="1800" w:type="dxa"/>
          </w:tcPr>
          <w:p w14:paraId="1A2B3D88" w14:textId="77777777" w:rsidR="00A1B2C3" w:rsidRDefault="00A1B2C3"/>
        </w:tc>
        <w:tc>
          <w:tcPr>
            <w:tcW w:w="1800" w:type="dxa"/>
          </w:tcPr>
          <w:p w14:paraId="1A2B3D89" w14:textId="77777777" w:rsidR="00A1B2C3" w:rsidRDefault="00A1B2C3">
            <w:r w:rsidRPr="00C4D5E6">
              <w:rPr>
                <w:rFonts w:ascii="Times New Roman" w:hAnsi="Times New Roman" w:eastAsia="宋体"/>
                <w:sz w:val="24"/>
                <w:szCs w:val="24"/>
              </w:rPr>
              <w:t xml:space="preserve">Combined</w:t>
            </w:r>
          </w:p>
        </w:tc>
        <w:tc>
          <w:tcPr>
            <w:tcW w:w="1800" w:type="dxa"/>
          </w:tcPr>
          <w:p w14:paraId="1A2B3D8A" w14:textId="77777777" w:rsidR="00A1B2C3" w:rsidRDefault="00A1B2C3">
            <w:r w:rsidRPr="00C4D5E6">
              <w:rPr>
                <w:rFonts w:ascii="Times New Roman" w:hAnsi="Times New Roman" w:eastAsia="宋体"/>
                <w:sz w:val="24"/>
                <w:szCs w:val="24"/>
              </w:rPr>
              <w:t xml:space="preserve">1.562</w:t>
            </w:r>
          </w:p>
        </w:tc>
        <w:tc>
          <w:tcPr>
            <w:tcW w:w="1800" w:type="dxa"/>
          </w:tcPr>
          <w:p w14:paraId="1A2B3D8B" w14:textId="77777777" w:rsidR="00A1B2C3" w:rsidRDefault="00A1B2C3">
            <w:r w:rsidRPr="00C4D5E6">
              <w:rPr>
                <w:rFonts w:ascii="Times New Roman" w:hAnsi="Times New Roman" w:eastAsia="宋体"/>
                <w:sz w:val="24"/>
                <w:szCs w:val="24"/>
              </w:rPr>
              <w:t xml:space="preserve">1.090</w:t>
            </w:r>
          </w:p>
        </w:tc>
        <w:tc>
          <w:tcPr>
            <w:tcW w:w="1800" w:type="dxa"/>
          </w:tcPr>
          <w:p w14:paraId="1A2B3D8C" w14:textId="77777777" w:rsidR="00A1B2C3" w:rsidRDefault="00A1B2C3">
            <w:r w:rsidRPr="00C4D5E6">
              <w:rPr>
                <w:rFonts w:ascii="Times New Roman" w:hAnsi="Times New Roman" w:eastAsia="宋体"/>
                <w:sz w:val="24"/>
                <w:szCs w:val="24"/>
              </w:rPr>
              <w:t xml:space="preserve">2.240</w:t>
            </w:r>
          </w:p>
        </w:tc>
      </w:tr>
    </w:tbl>
    <w:p w14:paraId="1A2B3D8D" w14:textId="77777777" w:rsidR="00A1B2C3" w:rsidRDefault="00A1B2C3">
      <w:pPr>
        <w:spacing w:line="480" w:lineRule="auto"/>
        <w:ind w:firstLine="480"/>
        <w:jc w:val="both"/>
      </w:pPr>
      <w:r w:rsidRPr="00C4D5E6">
        <w:rPr>
          <w:i/>
          <w:rFonts w:ascii="Times New Roman" w:hAnsi="Times New Roman" w:eastAsia="宋体"/>
          <w:sz w:val="24"/>
          <w:szCs w:val="24"/>
        </w:rPr>
        <w:t xml:space="preserve">CCT, consolidation chemotherapy; CCRT, concurrent chemoradiotherapy; DMR, distant metastasis rate; LRR, local recurrence rate; OS, overall survival.</w:t>
      </w:r>
    </w:p>
    <w:p w14:paraId="1A2B3D8E" w14:textId="77777777" w:rsidR="00A1B2C3" w:rsidRDefault="00A1B2C3">
      <w:pPr>
        <w:pStyle w:val="Heading3"/>
      </w:pPr>
      <w:r w:rsidRPr="00C4D5E6">
        <w:rPr>
          <w:rFonts w:ascii="Times New Roman" w:hAnsi="Times New Roman" w:eastAsia="宋体"/>
          <w:sz w:val="24"/>
          <w:szCs w:val="24"/>
        </w:rPr>
        <w:t xml:space="preserve">Publication Bias Analysis</w:t>
      </w:r>
    </w:p>
    <w:p w14:paraId="1A2B3D8F" w14:textId="77777777" w:rsidR="00A1B2C3" w:rsidRDefault="00A1B2C3">
      <w:pPr>
        <w:spacing w:line="480" w:lineRule="auto"/>
        <w:ind w:firstLine="480"/>
        <w:jc w:val="both"/>
      </w:pPr>
      <w:r w:rsidRPr="00C4D5E6">
        <w:rPr>
          <w:rFonts w:ascii="Times New Roman" w:hAnsi="Times New Roman" w:eastAsia="宋体"/>
          <w:sz w:val="24"/>
          <w:szCs w:val="24"/>
        </w:rPr>
        <w:t xml:space="preserve">Funnel plot was used to evaluate the publication bias. Egger’s regression test was conducted to analyze the symmetry of the funnel plot. None of the articles demonstrated publication bias (p &gt; 0.05) (</w:t>
      </w:r>
      <w:r w:rsidRPr="00C4D5E6">
        <w:rPr>
          <w:b/>
          <w:rFonts w:ascii="Times New Roman" w:hAnsi="Times New Roman" w:eastAsia="宋体"/>
          <w:sz w:val="24"/>
          <w:szCs w:val="24"/>
        </w:rPr>
        <w:t xml:space="preserve">Figures 5</w:t>
      </w:r>
      <w:r w:rsidRPr="00C4D5E6">
        <w:rPr>
          <w:rFonts w:ascii="Times New Roman" w:hAnsi="Times New Roman" w:eastAsia="宋体"/>
          <w:sz w:val="24"/>
          <w:szCs w:val="24"/>
        </w:rPr>
        <w:t xml:space="preserve">, </w:t>
      </w:r>
      <w:r w:rsidRPr="00C4D5E6">
        <w:rPr>
          <w:b/>
          <w:rFonts w:ascii="Times New Roman" w:hAnsi="Times New Roman" w:eastAsia="宋体"/>
          <w:sz w:val="24"/>
          <w:szCs w:val="24"/>
        </w:rPr>
        <w:t xml:space="preserve">6</w:t>
      </w:r>
      <w:r w:rsidRPr="00C4D5E6">
        <w:rPr>
          <w:rFonts w:ascii="Times New Roman" w:hAnsi="Times New Roman" w:eastAsia="宋体"/>
          <w:sz w:val="24"/>
          <w:szCs w:val="24"/>
        </w:rPr>
        <w:t xml:space="preserve"> and </w:t>
      </w:r>
      <w:r w:rsidRPr="00C4D5E6">
        <w:rPr>
          <w:b/>
          <w:rFonts w:ascii="Times New Roman" w:hAnsi="Times New Roman" w:eastAsia="宋体"/>
          <w:sz w:val="24"/>
          <w:szCs w:val="24"/>
        </w:rPr>
        <w:t xml:space="preserve">Tables 5</w:t>
      </w:r>
      <w:r w:rsidRPr="00C4D5E6">
        <w:rPr>
          <w:rFonts w:ascii="Times New Roman" w:hAnsi="Times New Roman" w:eastAsia="宋体"/>
          <w:sz w:val="24"/>
          <w:szCs w:val="24"/>
        </w:rPr>
        <w:t xml:space="preserve">, </w:t>
      </w:r>
      <w:r w:rsidRPr="00C4D5E6">
        <w:rPr>
          <w:b/>
          <w:rFonts w:ascii="Times New Roman" w:hAnsi="Times New Roman" w:eastAsia="宋体"/>
          <w:sz w:val="24"/>
          <w:szCs w:val="24"/>
        </w:rPr>
        <w:t xml:space="preserve">6</w:t>
      </w:r>
      <w:r w:rsidRPr="00C4D5E6">
        <w:rPr>
          <w:rFonts w:ascii="Times New Roman" w:hAnsi="Times New Roman" w:eastAsia="宋体"/>
          <w:sz w:val="24"/>
          <w:szCs w:val="24"/>
        </w:rPr>
        <w:t xml:space="preserve">).</w:t>
      </w:r>
    </w:p>
    <w:p w14:paraId="1A2B3D90" w14:textId="77777777" w:rsidR="00A1B2C3" w:rsidRDefault="00A1B2C3">
      <w:pPr>
        <w:spacing w:line="480" w:lineRule="auto"/>
        <w:ind w:firstLine="480"/>
        <w:jc w:val="both"/>
      </w:pPr>
      <w:r w:rsidRPr="00C4D5E6">
        <w:rPr>
          <w:b/>
          <w:rFonts w:ascii="Times New Roman" w:hAnsi="Times New Roman" w:eastAsia="宋体"/>
          <w:sz w:val="24"/>
          <w:szCs w:val="24"/>
        </w:rPr>
        <w:t xml:space="preserve">Figure 5.</w:t>
      </w:r>
      <w:r w:rsidRPr="00C4D5E6">
        <w:rPr>
          <w:rFonts w:ascii="Times New Roman" w:hAnsi="Times New Roman" w:eastAsia="宋体"/>
          <w:sz w:val="24"/>
          <w:szCs w:val="24"/>
        </w:rPr>
        <w:t xml:space="preserve"> Funnel plots for 1-, 2-, and 3-year OS rate between IC-CCRT group and CCRT alone group. OS, overall survival; IC-CCRT, induction chemotherapy followed by concurrent chemoradiotherapy; CCRT, concurrent chemoradiotherapy; CCRT, concurrent chemoradiotherapy.</w:t>
      </w:r>
    </w:p>
    <w:p w14:paraId="1A2B3D91" w14:textId="77777777" w:rsidR="00A1B2C3" w:rsidRDefault="00A1B2C3">
      <w:pPr>
        <w:spacing w:line="480" w:lineRule="auto"/>
        <w:ind w:firstLine="480"/>
        <w:jc w:val="both"/>
      </w:pPr>
      <w:r w:rsidRPr="00C4D5E6">
        <w:rPr>
          <w:b/>
          <w:rFonts w:ascii="Times New Roman" w:hAnsi="Times New Roman" w:eastAsia="宋体"/>
          <w:sz w:val="24"/>
          <w:szCs w:val="24"/>
        </w:rPr>
        <w:t xml:space="preserve">Figure 6.</w:t>
      </w:r>
      <w:r w:rsidRPr="00C4D5E6">
        <w:rPr>
          <w:rFonts w:ascii="Times New Roman" w:hAnsi="Times New Roman" w:eastAsia="宋体"/>
          <w:sz w:val="24"/>
          <w:szCs w:val="24"/>
        </w:rPr>
        <w:t xml:space="preserve"> Funnel plots for 1-, 2-, 3-, and 5-year OS rate, LRR, and DMR between CCRT-CCT group and CCRT alone group. OS, overall survival; LRR, local recurrence rate; DMR, distant metastasis rate; CCRT-CCT, concurrent chemoradiotherapy followed by consolidation chemotherapy; CCRT, concurrent chemoradiotherapy.</w:t>
      </w:r>
    </w:p>
    <w:p w14:paraId="1A2B3D92" w14:textId="77777777" w:rsidR="00A1B2C3" w:rsidRDefault="00A1B2C3">
      <w:pPr>
        <w:spacing w:line="480" w:lineRule="auto"/>
        <w:ind w:firstLine="480"/>
        <w:jc w:val="both"/>
      </w:pPr>
      <w:r w:rsidRPr="00C4D5E6">
        <w:rPr>
          <w:b/>
          <w:rFonts w:ascii="Times New Roman" w:hAnsi="Times New Roman" w:eastAsia="宋体"/>
          <w:sz w:val="24"/>
          <w:szCs w:val="24"/>
        </w:rPr>
        <w:t xml:space="preserve">Table 5.</w:t>
      </w:r>
      <w:r w:rsidRPr="00C4D5E6">
        <w:rPr>
          <w:rFonts w:ascii="Times New Roman" w:hAnsi="Times New Roman" w:eastAsia="宋体"/>
          <w:sz w:val="24"/>
          <w:szCs w:val="24"/>
        </w:rPr>
        <w:t xml:space="preserve"> Publication bias results of selected articles (IC-CCRT vs. CCRT group).</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1800"/>
        <w:gridCol w:w="1800"/>
        <w:gridCol w:w="1800"/>
        <w:gridCol w:w="1800"/>
        <w:gridCol w:w="1800"/>
      </w:tblGrid>
      <w:tr>
        <w:trPr>
          <w:tblHeader/>
        </w:trPr>
        <w:tc>
          <w:tcPr>
            <w:tcW w:w="1800" w:type="dxa"/>
          </w:tcPr>
          <w:p w14:paraId="1A2B3D93" w14:textId="77777777" w:rsidR="00A1B2C3" w:rsidRDefault="00A1B2C3">
            <w:r w:rsidRPr="00C4D5E6">
              <w:rPr>
                <w:rFonts w:ascii="Times New Roman" w:hAnsi="Times New Roman" w:eastAsia="宋体"/>
                <w:sz w:val="24"/>
                <w:szCs w:val="24"/>
              </w:rPr>
              <w:t xml:space="preserve">Items</w:t>
            </w:r>
          </w:p>
        </w:tc>
        <w:tc>
          <w:tcPr>
            <w:tcW w:w="1800" w:type="dxa"/>
          </w:tcPr>
          <w:p w14:paraId="1A2B3D94" w14:textId="77777777" w:rsidR="00A1B2C3" w:rsidRDefault="00A1B2C3">
            <w:r w:rsidRPr="00C4D5E6">
              <w:rPr>
                <w:rFonts w:ascii="Times New Roman" w:hAnsi="Times New Roman" w:eastAsia="宋体"/>
                <w:sz w:val="24"/>
                <w:szCs w:val="24"/>
              </w:rPr>
              <w:t xml:space="preserve">t</w:t>
            </w:r>
          </w:p>
        </w:tc>
        <w:tc>
          <w:tcPr>
            <w:tcW w:w="1800" w:type="dxa"/>
          </w:tcPr>
          <w:p w14:paraId="1A2B3D95" w14:textId="77777777" w:rsidR="00A1B2C3" w:rsidRDefault="00A1B2C3">
            <w:r w:rsidRPr="00C4D5E6">
              <w:rPr>
                <w:rFonts w:ascii="Times New Roman" w:hAnsi="Times New Roman" w:eastAsia="宋体"/>
                <w:sz w:val="24"/>
                <w:szCs w:val="24"/>
              </w:rPr>
              <w:t xml:space="preserve">95% CI</w:t>
            </w:r>
          </w:p>
        </w:tc>
        <w:tc>
          <w:tcPr>
            <w:tcW w:w="1800" w:type="dxa"/>
          </w:tcPr>
          <w:p w14:paraId="1A2B3D96" w14:textId="77777777" w:rsidR="00A1B2C3" w:rsidRDefault="00A1B2C3"/>
        </w:tc>
        <w:tc>
          <w:tcPr>
            <w:tcW w:w="1800" w:type="dxa"/>
          </w:tcPr>
          <w:p w14:paraId="1A2B3D97" w14:textId="77777777" w:rsidR="00A1B2C3" w:rsidRDefault="00A1B2C3">
            <w:r w:rsidRPr="00C4D5E6">
              <w:rPr>
                <w:rFonts w:ascii="Times New Roman" w:hAnsi="Times New Roman" w:eastAsia="宋体"/>
                <w:sz w:val="24"/>
                <w:szCs w:val="24"/>
              </w:rPr>
              <w:t xml:space="preserve">p</w:t>
            </w:r>
          </w:p>
        </w:tc>
      </w:tr>
      <w:tr>
        <w:tc>
          <w:tcPr>
            <w:tcW w:w="1800" w:type="dxa"/>
          </w:tcPr>
          <w:p w14:paraId="1A2B3D98" w14:textId="77777777" w:rsidR="00A1B2C3" w:rsidRDefault="00A1B2C3">
            <w:r w:rsidRPr="00C4D5E6">
              <w:rPr>
                <w:rFonts w:ascii="Times New Roman" w:hAnsi="Times New Roman" w:eastAsia="宋体"/>
                <w:sz w:val="24"/>
                <w:szCs w:val="24"/>
              </w:rPr>
              <w:t xml:space="preserve">One-year OS rate</w:t>
            </w:r>
          </w:p>
        </w:tc>
        <w:tc>
          <w:tcPr>
            <w:tcW w:w="1800" w:type="dxa"/>
          </w:tcPr>
          <w:p w14:paraId="1A2B3D99" w14:textId="77777777" w:rsidR="00A1B2C3" w:rsidRDefault="00A1B2C3">
            <w:r w:rsidRPr="00C4D5E6">
              <w:rPr>
                <w:rFonts w:ascii="Times New Roman" w:hAnsi="Times New Roman" w:eastAsia="宋体"/>
                <w:sz w:val="24"/>
                <w:szCs w:val="24"/>
              </w:rPr>
              <w:t xml:space="preserve">-0.47</w:t>
            </w:r>
          </w:p>
        </w:tc>
        <w:tc>
          <w:tcPr>
            <w:tcW w:w="1800" w:type="dxa"/>
          </w:tcPr>
          <w:p w14:paraId="1A2B3D9A" w14:textId="77777777" w:rsidR="00A1B2C3" w:rsidRDefault="00A1B2C3">
            <w:r w:rsidRPr="00C4D5E6">
              <w:rPr>
                <w:rFonts w:ascii="Times New Roman" w:hAnsi="Times New Roman" w:eastAsia="宋体"/>
                <w:sz w:val="24"/>
                <w:szCs w:val="24"/>
              </w:rPr>
              <w:t xml:space="preserve">-32.863</w:t>
            </w:r>
          </w:p>
        </w:tc>
        <w:tc>
          <w:tcPr>
            <w:tcW w:w="1800" w:type="dxa"/>
          </w:tcPr>
          <w:p w14:paraId="1A2B3D9B" w14:textId="77777777" w:rsidR="00A1B2C3" w:rsidRDefault="00A1B2C3">
            <w:r w:rsidRPr="00C4D5E6">
              <w:rPr>
                <w:rFonts w:ascii="Times New Roman" w:hAnsi="Times New Roman" w:eastAsia="宋体"/>
                <w:sz w:val="24"/>
                <w:szCs w:val="24"/>
              </w:rPr>
              <w:t xml:space="preserve">30.511</w:t>
            </w:r>
          </w:p>
        </w:tc>
        <w:tc>
          <w:tcPr>
            <w:tcW w:w="1800" w:type="dxa"/>
          </w:tcPr>
          <w:p w14:paraId="1A2B3D9C" w14:textId="77777777" w:rsidR="00A1B2C3" w:rsidRDefault="00A1B2C3">
            <w:r w:rsidRPr="00C4D5E6">
              <w:rPr>
                <w:rFonts w:ascii="Times New Roman" w:hAnsi="Times New Roman" w:eastAsia="宋体"/>
                <w:sz w:val="24"/>
                <w:szCs w:val="24"/>
              </w:rPr>
              <w:t xml:space="preserve">0.719</w:t>
            </w:r>
          </w:p>
        </w:tc>
      </w:tr>
      <w:tr>
        <w:tc>
          <w:tcPr>
            <w:tcW w:w="1800" w:type="dxa"/>
          </w:tcPr>
          <w:p w14:paraId="1A2B3D9D" w14:textId="77777777" w:rsidR="00A1B2C3" w:rsidRDefault="00A1B2C3">
            <w:r w:rsidRPr="00C4D5E6">
              <w:rPr>
                <w:rFonts w:ascii="Times New Roman" w:hAnsi="Times New Roman" w:eastAsia="宋体"/>
                <w:sz w:val="24"/>
                <w:szCs w:val="24"/>
              </w:rPr>
              <w:t xml:space="preserve">Two-year OS rate</w:t>
            </w:r>
          </w:p>
        </w:tc>
        <w:tc>
          <w:tcPr>
            <w:tcW w:w="1800" w:type="dxa"/>
          </w:tcPr>
          <w:p w14:paraId="1A2B3D9E" w14:textId="77777777" w:rsidR="00A1B2C3" w:rsidRDefault="00A1B2C3">
            <w:r w:rsidRPr="00C4D5E6">
              <w:rPr>
                <w:rFonts w:ascii="Times New Roman" w:hAnsi="Times New Roman" w:eastAsia="宋体"/>
                <w:sz w:val="24"/>
                <w:szCs w:val="24"/>
              </w:rPr>
              <w:t xml:space="preserve">-0.40</w:t>
            </w:r>
          </w:p>
        </w:tc>
        <w:tc>
          <w:tcPr>
            <w:tcW w:w="1800" w:type="dxa"/>
          </w:tcPr>
          <w:p w14:paraId="1A2B3D9F" w14:textId="77777777" w:rsidR="00A1B2C3" w:rsidRDefault="00A1B2C3">
            <w:r w:rsidRPr="00C4D5E6">
              <w:rPr>
                <w:rFonts w:ascii="Times New Roman" w:hAnsi="Times New Roman" w:eastAsia="宋体"/>
                <w:sz w:val="24"/>
                <w:szCs w:val="24"/>
              </w:rPr>
              <w:t xml:space="preserve">-24.901</w:t>
            </w:r>
          </w:p>
        </w:tc>
        <w:tc>
          <w:tcPr>
            <w:tcW w:w="1800" w:type="dxa"/>
          </w:tcPr>
          <w:p w14:paraId="1A2B3DA0" w14:textId="77777777" w:rsidR="00A1B2C3" w:rsidRDefault="00A1B2C3">
            <w:r w:rsidRPr="00C4D5E6">
              <w:rPr>
                <w:rFonts w:ascii="Times New Roman" w:hAnsi="Times New Roman" w:eastAsia="宋体"/>
                <w:sz w:val="24"/>
                <w:szCs w:val="24"/>
              </w:rPr>
              <w:t xml:space="preserve">23.382</w:t>
            </w:r>
          </w:p>
        </w:tc>
        <w:tc>
          <w:tcPr>
            <w:tcW w:w="1800" w:type="dxa"/>
          </w:tcPr>
          <w:p w14:paraId="1A2B3DA1" w14:textId="77777777" w:rsidR="00A1B2C3" w:rsidRDefault="00A1B2C3">
            <w:r w:rsidRPr="00C4D5E6">
              <w:rPr>
                <w:rFonts w:ascii="Times New Roman" w:hAnsi="Times New Roman" w:eastAsia="宋体"/>
                <w:sz w:val="24"/>
                <w:szCs w:val="24"/>
              </w:rPr>
              <w:t xml:space="preserve">0.758</w:t>
            </w:r>
          </w:p>
        </w:tc>
      </w:tr>
      <w:tr>
        <w:tc>
          <w:tcPr>
            <w:tcW w:w="1800" w:type="dxa"/>
          </w:tcPr>
          <w:p w14:paraId="1A2B3DA2" w14:textId="77777777" w:rsidR="00A1B2C3" w:rsidRDefault="00A1B2C3">
            <w:r w:rsidRPr="00C4D5E6">
              <w:rPr>
                <w:rFonts w:ascii="Times New Roman" w:hAnsi="Times New Roman" w:eastAsia="宋体"/>
                <w:sz w:val="24"/>
                <w:szCs w:val="24"/>
              </w:rPr>
              <w:t xml:space="preserve">Three-year OS rate</w:t>
            </w:r>
          </w:p>
        </w:tc>
        <w:tc>
          <w:tcPr>
            <w:tcW w:w="1800" w:type="dxa"/>
          </w:tcPr>
          <w:p w14:paraId="1A2B3DA3" w14:textId="77777777" w:rsidR="00A1B2C3" w:rsidRDefault="00A1B2C3">
            <w:r w:rsidRPr="00C4D5E6">
              <w:rPr>
                <w:rFonts w:ascii="Times New Roman" w:hAnsi="Times New Roman" w:eastAsia="宋体"/>
                <w:sz w:val="24"/>
                <w:szCs w:val="24"/>
              </w:rPr>
              <w:t xml:space="preserve">-3.29</w:t>
            </w:r>
          </w:p>
        </w:tc>
        <w:tc>
          <w:tcPr>
            <w:tcW w:w="1800" w:type="dxa"/>
          </w:tcPr>
          <w:p w14:paraId="1A2B3DA4" w14:textId="77777777" w:rsidR="00A1B2C3" w:rsidRDefault="00A1B2C3">
            <w:r w:rsidRPr="00C4D5E6">
              <w:rPr>
                <w:rFonts w:ascii="Times New Roman" w:hAnsi="Times New Roman" w:eastAsia="宋体"/>
                <w:sz w:val="24"/>
                <w:szCs w:val="24"/>
              </w:rPr>
              <w:t xml:space="preserve">-11.006</w:t>
            </w:r>
          </w:p>
        </w:tc>
        <w:tc>
          <w:tcPr>
            <w:tcW w:w="1800" w:type="dxa"/>
          </w:tcPr>
          <w:p w14:paraId="1A2B3DA5" w14:textId="77777777" w:rsidR="00A1B2C3" w:rsidRDefault="00A1B2C3">
            <w:r w:rsidRPr="00C4D5E6">
              <w:rPr>
                <w:rFonts w:ascii="Times New Roman" w:hAnsi="Times New Roman" w:eastAsia="宋体"/>
                <w:sz w:val="24"/>
                <w:szCs w:val="24"/>
              </w:rPr>
              <w:t xml:space="preserve">6.476</w:t>
            </w:r>
          </w:p>
        </w:tc>
        <w:tc>
          <w:tcPr>
            <w:tcW w:w="1800" w:type="dxa"/>
          </w:tcPr>
          <w:p w14:paraId="1A2B3DA6" w14:textId="77777777" w:rsidR="00A1B2C3" w:rsidRDefault="00A1B2C3">
            <w:r w:rsidRPr="00C4D5E6">
              <w:rPr>
                <w:rFonts w:ascii="Times New Roman" w:hAnsi="Times New Roman" w:eastAsia="宋体"/>
                <w:sz w:val="24"/>
                <w:szCs w:val="24"/>
              </w:rPr>
              <w:t xml:space="preserve">0.188</w:t>
            </w:r>
          </w:p>
        </w:tc>
      </w:tr>
    </w:tbl>
    <w:p w14:paraId="1A2B3DA7" w14:textId="77777777" w:rsidR="00A1B2C3" w:rsidRDefault="00A1B2C3">
      <w:pPr>
        <w:spacing w:line="480" w:lineRule="auto"/>
        <w:ind w:firstLine="480"/>
        <w:jc w:val="both"/>
      </w:pPr>
      <w:r w:rsidRPr="00C4D5E6">
        <w:rPr>
          <w:i/>
          <w:rFonts w:ascii="Times New Roman" w:hAnsi="Times New Roman" w:eastAsia="宋体"/>
          <w:sz w:val="24"/>
          <w:szCs w:val="24"/>
        </w:rPr>
        <w:t xml:space="preserve">IC, induction chemotherapy; CCRT, concurrent chemoradiotherapy; OS, overall survival.</w:t>
      </w:r>
    </w:p>
    <w:p w14:paraId="1A2B3DA8" w14:textId="77777777" w:rsidR="00A1B2C3" w:rsidRDefault="00A1B2C3">
      <w:pPr>
        <w:spacing w:line="480" w:lineRule="auto"/>
        <w:ind w:firstLine="480"/>
        <w:jc w:val="both"/>
      </w:pPr>
      <w:r w:rsidRPr="00C4D5E6">
        <w:rPr>
          <w:b/>
          <w:rFonts w:ascii="Times New Roman" w:hAnsi="Times New Roman" w:eastAsia="宋体"/>
          <w:sz w:val="24"/>
          <w:szCs w:val="24"/>
        </w:rPr>
        <w:t xml:space="preserve">Table 6.</w:t>
      </w:r>
      <w:r w:rsidRPr="00C4D5E6">
        <w:rPr>
          <w:rFonts w:ascii="Times New Roman" w:hAnsi="Times New Roman" w:eastAsia="宋体"/>
          <w:sz w:val="24"/>
          <w:szCs w:val="24"/>
        </w:rPr>
        <w:t xml:space="preserve"> Publication bias results of selected articles (CCRT-CCT vs. CCRT group).</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1800"/>
        <w:gridCol w:w="1800"/>
        <w:gridCol w:w="1800"/>
        <w:gridCol w:w="1800"/>
        <w:gridCol w:w="1800"/>
      </w:tblGrid>
      <w:tr>
        <w:trPr>
          <w:tblHeader/>
        </w:trPr>
        <w:tc>
          <w:tcPr>
            <w:tcW w:w="1800" w:type="dxa"/>
          </w:tcPr>
          <w:p w14:paraId="1A2B3DA9" w14:textId="77777777" w:rsidR="00A1B2C3" w:rsidRDefault="00A1B2C3">
            <w:r w:rsidRPr="00C4D5E6">
              <w:rPr>
                <w:rFonts w:ascii="Times New Roman" w:hAnsi="Times New Roman" w:eastAsia="宋体"/>
                <w:sz w:val="24"/>
                <w:szCs w:val="24"/>
              </w:rPr>
              <w:t xml:space="preserve">Items</w:t>
            </w:r>
          </w:p>
        </w:tc>
        <w:tc>
          <w:tcPr>
            <w:tcW w:w="1800" w:type="dxa"/>
          </w:tcPr>
          <w:p w14:paraId="1A2B3DAA" w14:textId="77777777" w:rsidR="00A1B2C3" w:rsidRDefault="00A1B2C3">
            <w:r w:rsidRPr="00C4D5E6">
              <w:rPr>
                <w:rFonts w:ascii="Times New Roman" w:hAnsi="Times New Roman" w:eastAsia="宋体"/>
                <w:sz w:val="24"/>
                <w:szCs w:val="24"/>
              </w:rPr>
              <w:t xml:space="preserve">t</w:t>
            </w:r>
          </w:p>
        </w:tc>
        <w:tc>
          <w:tcPr>
            <w:tcW w:w="1800" w:type="dxa"/>
          </w:tcPr>
          <w:p w14:paraId="1A2B3DAB" w14:textId="77777777" w:rsidR="00A1B2C3" w:rsidRDefault="00A1B2C3">
            <w:r w:rsidRPr="00C4D5E6">
              <w:rPr>
                <w:rFonts w:ascii="Times New Roman" w:hAnsi="Times New Roman" w:eastAsia="宋体"/>
                <w:sz w:val="24"/>
                <w:szCs w:val="24"/>
              </w:rPr>
              <w:t xml:space="preserve">95% CI</w:t>
            </w:r>
          </w:p>
        </w:tc>
        <w:tc>
          <w:tcPr>
            <w:tcW w:w="1800" w:type="dxa"/>
          </w:tcPr>
          <w:p w14:paraId="1A2B3DAC" w14:textId="77777777" w:rsidR="00A1B2C3" w:rsidRDefault="00A1B2C3"/>
        </w:tc>
        <w:tc>
          <w:tcPr>
            <w:tcW w:w="1800" w:type="dxa"/>
          </w:tcPr>
          <w:p w14:paraId="1A2B3DAD" w14:textId="77777777" w:rsidR="00A1B2C3" w:rsidRDefault="00A1B2C3">
            <w:r w:rsidRPr="00C4D5E6">
              <w:rPr>
                <w:rFonts w:ascii="Times New Roman" w:hAnsi="Times New Roman" w:eastAsia="宋体"/>
                <w:sz w:val="24"/>
                <w:szCs w:val="24"/>
              </w:rPr>
              <w:t xml:space="preserve">p</w:t>
            </w:r>
          </w:p>
        </w:tc>
      </w:tr>
      <w:tr>
        <w:tc>
          <w:tcPr>
            <w:tcW w:w="1800" w:type="dxa"/>
          </w:tcPr>
          <w:p w14:paraId="1A2B3DAE" w14:textId="77777777" w:rsidR="00A1B2C3" w:rsidRDefault="00A1B2C3">
            <w:r w:rsidRPr="00C4D5E6">
              <w:rPr>
                <w:rFonts w:ascii="Times New Roman" w:hAnsi="Times New Roman" w:eastAsia="宋体"/>
                <w:sz w:val="24"/>
                <w:szCs w:val="24"/>
              </w:rPr>
              <w:t xml:space="preserve">One-year OS rate</w:t>
            </w:r>
          </w:p>
        </w:tc>
        <w:tc>
          <w:tcPr>
            <w:tcW w:w="1800" w:type="dxa"/>
          </w:tcPr>
          <w:p w14:paraId="1A2B3DAF" w14:textId="77777777" w:rsidR="00A1B2C3" w:rsidRDefault="00A1B2C3">
            <w:r w:rsidRPr="00C4D5E6">
              <w:rPr>
                <w:rFonts w:ascii="Times New Roman" w:hAnsi="Times New Roman" w:eastAsia="宋体"/>
                <w:sz w:val="24"/>
                <w:szCs w:val="24"/>
              </w:rPr>
              <w:t xml:space="preserve">-1.00</w:t>
            </w:r>
          </w:p>
        </w:tc>
        <w:tc>
          <w:tcPr>
            <w:tcW w:w="1800" w:type="dxa"/>
          </w:tcPr>
          <w:p w14:paraId="1A2B3DB0" w14:textId="77777777" w:rsidR="00A1B2C3" w:rsidRDefault="00A1B2C3">
            <w:r w:rsidRPr="00C4D5E6">
              <w:rPr>
                <w:rFonts w:ascii="Times New Roman" w:hAnsi="Times New Roman" w:eastAsia="宋体"/>
                <w:sz w:val="24"/>
                <w:szCs w:val="24"/>
              </w:rPr>
              <w:t xml:space="preserve">-6.527</w:t>
            </w:r>
          </w:p>
        </w:tc>
        <w:tc>
          <w:tcPr>
            <w:tcW w:w="1800" w:type="dxa"/>
          </w:tcPr>
          <w:p w14:paraId="1A2B3DB1" w14:textId="77777777" w:rsidR="00A1B2C3" w:rsidRDefault="00A1B2C3">
            <w:r w:rsidRPr="00C4D5E6">
              <w:rPr>
                <w:rFonts w:ascii="Times New Roman" w:hAnsi="Times New Roman" w:eastAsia="宋体"/>
                <w:sz w:val="24"/>
                <w:szCs w:val="24"/>
              </w:rPr>
              <w:t xml:space="preserve">3.070</w:t>
            </w:r>
          </w:p>
        </w:tc>
        <w:tc>
          <w:tcPr>
            <w:tcW w:w="1800" w:type="dxa"/>
          </w:tcPr>
          <w:p w14:paraId="1A2B3DB2" w14:textId="77777777" w:rsidR="00A1B2C3" w:rsidRDefault="00A1B2C3">
            <w:r w:rsidRPr="00C4D5E6">
              <w:rPr>
                <w:rFonts w:ascii="Times New Roman" w:hAnsi="Times New Roman" w:eastAsia="宋体"/>
                <w:sz w:val="24"/>
                <w:szCs w:val="24"/>
              </w:rPr>
              <w:t xml:space="preserve">0.374</w:t>
            </w:r>
          </w:p>
        </w:tc>
      </w:tr>
      <w:tr>
        <w:tc>
          <w:tcPr>
            <w:tcW w:w="1800" w:type="dxa"/>
          </w:tcPr>
          <w:p w14:paraId="1A2B3DB3" w14:textId="77777777" w:rsidR="00A1B2C3" w:rsidRDefault="00A1B2C3">
            <w:r w:rsidRPr="00C4D5E6">
              <w:rPr>
                <w:rFonts w:ascii="Times New Roman" w:hAnsi="Times New Roman" w:eastAsia="宋体"/>
                <w:sz w:val="24"/>
                <w:szCs w:val="24"/>
              </w:rPr>
              <w:t xml:space="preserve">Two-year OS rate</w:t>
            </w:r>
          </w:p>
        </w:tc>
        <w:tc>
          <w:tcPr>
            <w:tcW w:w="1800" w:type="dxa"/>
          </w:tcPr>
          <w:p w14:paraId="1A2B3DB4" w14:textId="77777777" w:rsidR="00A1B2C3" w:rsidRDefault="00A1B2C3">
            <w:r w:rsidRPr="00C4D5E6">
              <w:rPr>
                <w:rFonts w:ascii="Times New Roman" w:hAnsi="Times New Roman" w:eastAsia="宋体"/>
                <w:sz w:val="24"/>
                <w:szCs w:val="24"/>
              </w:rPr>
              <w:t xml:space="preserve">-2.66</w:t>
            </w:r>
          </w:p>
        </w:tc>
        <w:tc>
          <w:tcPr>
            <w:tcW w:w="1800" w:type="dxa"/>
          </w:tcPr>
          <w:p w14:paraId="1A2B3DB5" w14:textId="77777777" w:rsidR="00A1B2C3" w:rsidRDefault="00A1B2C3">
            <w:r w:rsidRPr="00C4D5E6">
              <w:rPr>
                <w:rFonts w:ascii="Times New Roman" w:hAnsi="Times New Roman" w:eastAsia="宋体"/>
                <w:sz w:val="24"/>
                <w:szCs w:val="24"/>
              </w:rPr>
              <w:t xml:space="preserve">-2.785</w:t>
            </w:r>
          </w:p>
        </w:tc>
        <w:tc>
          <w:tcPr>
            <w:tcW w:w="1800" w:type="dxa"/>
          </w:tcPr>
          <w:p w14:paraId="1A2B3DB6" w14:textId="77777777" w:rsidR="00A1B2C3" w:rsidRDefault="00A1B2C3">
            <w:r w:rsidRPr="00C4D5E6">
              <w:rPr>
                <w:rFonts w:ascii="Times New Roman" w:hAnsi="Times New Roman" w:eastAsia="宋体"/>
                <w:sz w:val="24"/>
                <w:szCs w:val="24"/>
              </w:rPr>
              <w:t xml:space="preserve">0.657</w:t>
            </w:r>
          </w:p>
        </w:tc>
        <w:tc>
          <w:tcPr>
            <w:tcW w:w="1800" w:type="dxa"/>
          </w:tcPr>
          <w:p w14:paraId="1A2B3DB7" w14:textId="77777777" w:rsidR="00A1B2C3" w:rsidRDefault="00A1B2C3">
            <w:r w:rsidRPr="00C4D5E6">
              <w:rPr>
                <w:rFonts w:ascii="Times New Roman" w:hAnsi="Times New Roman" w:eastAsia="宋体"/>
                <w:sz w:val="24"/>
                <w:szCs w:val="24"/>
              </w:rPr>
              <w:t xml:space="preserve">0.117</w:t>
            </w:r>
          </w:p>
        </w:tc>
      </w:tr>
      <w:tr>
        <w:tc>
          <w:tcPr>
            <w:tcW w:w="1800" w:type="dxa"/>
          </w:tcPr>
          <w:p w14:paraId="1A2B3DB8" w14:textId="77777777" w:rsidR="00A1B2C3" w:rsidRDefault="00A1B2C3">
            <w:r w:rsidRPr="00C4D5E6">
              <w:rPr>
                <w:rFonts w:ascii="Times New Roman" w:hAnsi="Times New Roman" w:eastAsia="宋体"/>
                <w:sz w:val="24"/>
                <w:szCs w:val="24"/>
              </w:rPr>
              <w:t xml:space="preserve">Three-year OS rate</w:t>
            </w:r>
          </w:p>
        </w:tc>
        <w:tc>
          <w:tcPr>
            <w:tcW w:w="1800" w:type="dxa"/>
          </w:tcPr>
          <w:p w14:paraId="1A2B3DB9" w14:textId="77777777" w:rsidR="00A1B2C3" w:rsidRDefault="00A1B2C3">
            <w:r w:rsidRPr="00C4D5E6">
              <w:rPr>
                <w:rFonts w:ascii="Times New Roman" w:hAnsi="Times New Roman" w:eastAsia="宋体"/>
                <w:sz w:val="24"/>
                <w:szCs w:val="24"/>
              </w:rPr>
              <w:t xml:space="preserve">-2.36</w:t>
            </w:r>
          </w:p>
        </w:tc>
        <w:tc>
          <w:tcPr>
            <w:tcW w:w="1800" w:type="dxa"/>
          </w:tcPr>
          <w:p w14:paraId="1A2B3DBA" w14:textId="77777777" w:rsidR="00A1B2C3" w:rsidRDefault="00A1B2C3">
            <w:r w:rsidRPr="00C4D5E6">
              <w:rPr>
                <w:rFonts w:ascii="Times New Roman" w:hAnsi="Times New Roman" w:eastAsia="宋体"/>
                <w:sz w:val="24"/>
                <w:szCs w:val="24"/>
              </w:rPr>
              <w:t xml:space="preserve">-3.792</w:t>
            </w:r>
          </w:p>
        </w:tc>
        <w:tc>
          <w:tcPr>
            <w:tcW w:w="1800" w:type="dxa"/>
          </w:tcPr>
          <w:p w14:paraId="1A2B3DBB" w14:textId="77777777" w:rsidR="00A1B2C3" w:rsidRDefault="00A1B2C3">
            <w:r w:rsidRPr="00C4D5E6">
              <w:rPr>
                <w:rFonts w:ascii="Times New Roman" w:hAnsi="Times New Roman" w:eastAsia="宋体"/>
                <w:sz w:val="24"/>
                <w:szCs w:val="24"/>
              </w:rPr>
              <w:t xml:space="preserve">0.304</w:t>
            </w:r>
          </w:p>
        </w:tc>
        <w:tc>
          <w:tcPr>
            <w:tcW w:w="1800" w:type="dxa"/>
          </w:tcPr>
          <w:p w14:paraId="1A2B3DBC" w14:textId="77777777" w:rsidR="00A1B2C3" w:rsidRDefault="00A1B2C3">
            <w:r w:rsidRPr="00C4D5E6">
              <w:rPr>
                <w:rFonts w:ascii="Times New Roman" w:hAnsi="Times New Roman" w:eastAsia="宋体"/>
                <w:sz w:val="24"/>
                <w:szCs w:val="24"/>
              </w:rPr>
              <w:t xml:space="preserve">0.077</w:t>
            </w:r>
          </w:p>
        </w:tc>
      </w:tr>
      <w:tr>
        <w:tc>
          <w:tcPr>
            <w:tcW w:w="1800" w:type="dxa"/>
          </w:tcPr>
          <w:p w14:paraId="1A2B3DBD" w14:textId="77777777" w:rsidR="00A1B2C3" w:rsidRDefault="00A1B2C3">
            <w:r w:rsidRPr="00C4D5E6">
              <w:rPr>
                <w:rFonts w:ascii="Times New Roman" w:hAnsi="Times New Roman" w:eastAsia="宋体"/>
                <w:sz w:val="24"/>
                <w:szCs w:val="24"/>
              </w:rPr>
              <w:t xml:space="preserve">Five-year OS rate</w:t>
            </w:r>
          </w:p>
        </w:tc>
        <w:tc>
          <w:tcPr>
            <w:tcW w:w="1800" w:type="dxa"/>
          </w:tcPr>
          <w:p w14:paraId="1A2B3DBE" w14:textId="77777777" w:rsidR="00A1B2C3" w:rsidRDefault="00A1B2C3">
            <w:r w:rsidRPr="00C4D5E6">
              <w:rPr>
                <w:rFonts w:ascii="Times New Roman" w:hAnsi="Times New Roman" w:eastAsia="宋体"/>
                <w:sz w:val="24"/>
                <w:szCs w:val="24"/>
              </w:rPr>
              <w:t xml:space="preserve">-1.56</w:t>
            </w:r>
          </w:p>
        </w:tc>
        <w:tc>
          <w:tcPr>
            <w:tcW w:w="1800" w:type="dxa"/>
          </w:tcPr>
          <w:p w14:paraId="1A2B3DBF" w14:textId="77777777" w:rsidR="00A1B2C3" w:rsidRDefault="00A1B2C3">
            <w:r w:rsidRPr="00C4D5E6">
              <w:rPr>
                <w:rFonts w:ascii="Times New Roman" w:hAnsi="Times New Roman" w:eastAsia="宋体"/>
                <w:sz w:val="24"/>
                <w:szCs w:val="24"/>
              </w:rPr>
              <w:t xml:space="preserve">-12.670</w:t>
            </w:r>
          </w:p>
        </w:tc>
        <w:tc>
          <w:tcPr>
            <w:tcW w:w="1800" w:type="dxa"/>
          </w:tcPr>
          <w:p w14:paraId="1A2B3DC0" w14:textId="77777777" w:rsidR="00A1B2C3" w:rsidRDefault="00A1B2C3">
            <w:r w:rsidRPr="00C4D5E6">
              <w:rPr>
                <w:rFonts w:ascii="Times New Roman" w:hAnsi="Times New Roman" w:eastAsia="宋体"/>
                <w:sz w:val="24"/>
                <w:szCs w:val="24"/>
              </w:rPr>
              <w:t xml:space="preserve">5.927</w:t>
            </w:r>
          </w:p>
        </w:tc>
        <w:tc>
          <w:tcPr>
            <w:tcW w:w="1800" w:type="dxa"/>
          </w:tcPr>
          <w:p w14:paraId="1A2B3DC1" w14:textId="77777777" w:rsidR="00A1B2C3" w:rsidRDefault="00A1B2C3">
            <w:r w:rsidRPr="00C4D5E6">
              <w:rPr>
                <w:rFonts w:ascii="Times New Roman" w:hAnsi="Times New Roman" w:eastAsia="宋体"/>
                <w:sz w:val="24"/>
                <w:szCs w:val="24"/>
              </w:rPr>
              <w:t xml:space="preserve">0.259</w:t>
            </w:r>
          </w:p>
        </w:tc>
      </w:tr>
      <w:tr>
        <w:tc>
          <w:tcPr>
            <w:tcW w:w="1800" w:type="dxa"/>
          </w:tcPr>
          <w:p w14:paraId="1A2B3DC2" w14:textId="77777777" w:rsidR="00A1B2C3" w:rsidRDefault="00A1B2C3">
            <w:r w:rsidRPr="00C4D5E6">
              <w:rPr>
                <w:rFonts w:ascii="Times New Roman" w:hAnsi="Times New Roman" w:eastAsia="宋体"/>
                <w:sz w:val="24"/>
                <w:szCs w:val="24"/>
              </w:rPr>
              <w:t xml:space="preserve">Local recurrence rate</w:t>
            </w:r>
          </w:p>
        </w:tc>
        <w:tc>
          <w:tcPr>
            <w:tcW w:w="1800" w:type="dxa"/>
          </w:tcPr>
          <w:p w14:paraId="1A2B3DC3" w14:textId="77777777" w:rsidR="00A1B2C3" w:rsidRDefault="00A1B2C3">
            <w:r w:rsidRPr="00C4D5E6">
              <w:rPr>
                <w:rFonts w:ascii="Times New Roman" w:hAnsi="Times New Roman" w:eastAsia="宋体"/>
                <w:sz w:val="24"/>
                <w:szCs w:val="24"/>
              </w:rPr>
              <w:t xml:space="preserve">-1.42</w:t>
            </w:r>
          </w:p>
        </w:tc>
        <w:tc>
          <w:tcPr>
            <w:tcW w:w="1800" w:type="dxa"/>
          </w:tcPr>
          <w:p w14:paraId="1A2B3DC4" w14:textId="77777777" w:rsidR="00A1B2C3" w:rsidRDefault="00A1B2C3">
            <w:r w:rsidRPr="00C4D5E6">
              <w:rPr>
                <w:rFonts w:ascii="Times New Roman" w:hAnsi="Times New Roman" w:eastAsia="宋体"/>
                <w:sz w:val="24"/>
                <w:szCs w:val="24"/>
              </w:rPr>
              <w:t xml:space="preserve">-74.957</w:t>
            </w:r>
          </w:p>
        </w:tc>
        <w:tc>
          <w:tcPr>
            <w:tcW w:w="1800" w:type="dxa"/>
          </w:tcPr>
          <w:p w14:paraId="1A2B3DC5" w14:textId="77777777" w:rsidR="00A1B2C3" w:rsidRDefault="00A1B2C3">
            <w:r w:rsidRPr="00C4D5E6">
              <w:rPr>
                <w:rFonts w:ascii="Times New Roman" w:hAnsi="Times New Roman" w:eastAsia="宋体"/>
                <w:sz w:val="24"/>
                <w:szCs w:val="24"/>
              </w:rPr>
              <w:t xml:space="preserve">59.923</w:t>
            </w:r>
          </w:p>
        </w:tc>
        <w:tc>
          <w:tcPr>
            <w:tcW w:w="1800" w:type="dxa"/>
          </w:tcPr>
          <w:p w14:paraId="1A2B3DC6" w14:textId="77777777" w:rsidR="00A1B2C3" w:rsidRDefault="00A1B2C3">
            <w:r w:rsidRPr="00C4D5E6">
              <w:rPr>
                <w:rFonts w:ascii="Times New Roman" w:hAnsi="Times New Roman" w:eastAsia="宋体"/>
                <w:sz w:val="24"/>
                <w:szCs w:val="24"/>
              </w:rPr>
              <w:t xml:space="preserve">0.391</w:t>
            </w:r>
          </w:p>
        </w:tc>
      </w:tr>
      <w:tr>
        <w:tc>
          <w:tcPr>
            <w:tcW w:w="1800" w:type="dxa"/>
          </w:tcPr>
          <w:p w14:paraId="1A2B3DC7" w14:textId="77777777" w:rsidR="00A1B2C3" w:rsidRDefault="00A1B2C3">
            <w:r w:rsidRPr="00C4D5E6">
              <w:rPr>
                <w:rFonts w:ascii="Times New Roman" w:hAnsi="Times New Roman" w:eastAsia="宋体"/>
                <w:sz w:val="24"/>
                <w:szCs w:val="24"/>
              </w:rPr>
              <w:t xml:space="preserve">Distant metastasis rate</w:t>
            </w:r>
          </w:p>
        </w:tc>
        <w:tc>
          <w:tcPr>
            <w:tcW w:w="1800" w:type="dxa"/>
          </w:tcPr>
          <w:p w14:paraId="1A2B3DC8" w14:textId="77777777" w:rsidR="00A1B2C3" w:rsidRDefault="00A1B2C3">
            <w:r w:rsidRPr="00C4D5E6">
              <w:rPr>
                <w:rFonts w:ascii="Times New Roman" w:hAnsi="Times New Roman" w:eastAsia="宋体"/>
                <w:sz w:val="24"/>
                <w:szCs w:val="24"/>
              </w:rPr>
              <w:t xml:space="preserve">0.53</w:t>
            </w:r>
          </w:p>
        </w:tc>
        <w:tc>
          <w:tcPr>
            <w:tcW w:w="1800" w:type="dxa"/>
          </w:tcPr>
          <w:p w14:paraId="1A2B3DC9" w14:textId="77777777" w:rsidR="00A1B2C3" w:rsidRDefault="00A1B2C3">
            <w:r w:rsidRPr="00C4D5E6">
              <w:rPr>
                <w:rFonts w:ascii="Times New Roman" w:hAnsi="Times New Roman" w:eastAsia="宋体"/>
                <w:sz w:val="24"/>
                <w:szCs w:val="24"/>
              </w:rPr>
              <w:t xml:space="preserve">-190.069</w:t>
            </w:r>
          </w:p>
        </w:tc>
        <w:tc>
          <w:tcPr>
            <w:tcW w:w="1800" w:type="dxa"/>
          </w:tcPr>
          <w:p w14:paraId="1A2B3DCA" w14:textId="77777777" w:rsidR="00A1B2C3" w:rsidRDefault="00A1B2C3">
            <w:r w:rsidRPr="00C4D5E6">
              <w:rPr>
                <w:rFonts w:ascii="Times New Roman" w:hAnsi="Times New Roman" w:eastAsia="宋体"/>
                <w:sz w:val="24"/>
                <w:szCs w:val="24"/>
              </w:rPr>
              <w:t xml:space="preserve">206.648</w:t>
            </w:r>
          </w:p>
        </w:tc>
        <w:tc>
          <w:tcPr>
            <w:tcW w:w="1800" w:type="dxa"/>
          </w:tcPr>
          <w:p w14:paraId="1A2B3DCB" w14:textId="77777777" w:rsidR="00A1B2C3" w:rsidRDefault="00A1B2C3">
            <w:r w:rsidRPr="00C4D5E6">
              <w:rPr>
                <w:rFonts w:ascii="Times New Roman" w:hAnsi="Times New Roman" w:eastAsia="宋体"/>
                <w:sz w:val="24"/>
                <w:szCs w:val="24"/>
              </w:rPr>
              <w:t xml:space="preserve">0.689</w:t>
            </w:r>
          </w:p>
        </w:tc>
      </w:tr>
    </w:tbl>
    <w:p w14:paraId="1A2B3DCC" w14:textId="77777777" w:rsidR="00A1B2C3" w:rsidRDefault="00A1B2C3">
      <w:pPr>
        <w:spacing w:line="480" w:lineRule="auto"/>
        <w:ind w:firstLine="480"/>
        <w:jc w:val="both"/>
      </w:pPr>
      <w:r w:rsidRPr="00C4D5E6">
        <w:rPr>
          <w:i/>
          <w:rFonts w:ascii="Times New Roman" w:hAnsi="Times New Roman" w:eastAsia="宋体"/>
          <w:sz w:val="24"/>
          <w:szCs w:val="24"/>
        </w:rPr>
        <w:t xml:space="preserve">CCT, consolidation chemotherapy; CCRT, concurrent chemoradiotherapy; OS, overall survival.</w:t>
      </w:r>
    </w:p>
    <w:p w14:paraId="1A2B3DCD" w14:textId="77777777" w:rsidR="00A1B2C3" w:rsidRDefault="00A1B2C3">
      <w:pPr>
        <w:pStyle w:val="Heading2"/>
      </w:pPr>
      <w:r w:rsidRPr="00C4D5E6">
        <w:rPr>
          <w:rFonts w:ascii="Times New Roman" w:hAnsi="Times New Roman" w:eastAsia="宋体"/>
          <w:sz w:val="24"/>
          <w:szCs w:val="24"/>
        </w:rPr>
        <w:t xml:space="preserve">Discussion</w:t>
      </w:r>
    </w:p>
    <w:p w14:paraId="1A2B3DCE" w14:textId="77777777" w:rsidR="00A1B2C3" w:rsidRDefault="00A1B2C3">
      <w:pPr>
        <w:spacing w:line="480" w:lineRule="auto"/>
        <w:ind w:firstLine="480"/>
        <w:jc w:val="both"/>
      </w:pPr>
      <w:r w:rsidRPr="00C4D5E6">
        <w:rPr>
          <w:rFonts w:ascii="Times New Roman" w:hAnsi="Times New Roman" w:eastAsia="宋体"/>
          <w:sz w:val="24"/>
          <w:szCs w:val="24"/>
        </w:rPr>
        <w:t xml:space="preserve">Our meta-analysis evaluated the value of additional IC or CCT in unresectable EC undergoing CCRT. The results showed that the additional IC or CCT may be an important factor affecting short-term survival but not long-term survival. To the best of our knowledge, this is the first meta-analysis to discuss the efficacy of IC in patients with unresectable EC treated with CCRT.</w:t>
      </w:r>
    </w:p>
    <w:p w14:paraId="1A2B3DCF" w14:textId="77777777" w:rsidR="00A1B2C3" w:rsidRDefault="00A1B2C3">
      <w:pPr>
        <w:spacing w:line="480" w:lineRule="auto"/>
        <w:ind w:firstLine="480"/>
        <w:jc w:val="both"/>
      </w:pPr>
      <w:r w:rsidRPr="00C4D5E6">
        <w:rPr>
          <w:rFonts w:ascii="Times New Roman" w:hAnsi="Times New Roman" w:eastAsia="宋体"/>
          <w:sz w:val="24"/>
          <w:szCs w:val="24"/>
        </w:rPr>
        <w:t xml:space="preserve">In theory, the addition of IC before CCRT has the potential advantage to degrade the stage and reduce the size of tumor. Chemotherapy response before radiotherapy is associated with reduced lung and heart irradiation and increased tolerance of the patients. Lu et al. ([21]) reported that additional IC for EC patients treated with neoadjuvant CCRT followed by esophagectomy was associated with a higher pathological complete response (pCR) rate (45.3% </w:t>
      </w:r>
      <w:r w:rsidRPr="00C4D5E6">
        <w:rPr>
          <w:i/>
          <w:rFonts w:ascii="Times New Roman" w:hAnsi="Times New Roman" w:eastAsia="宋体"/>
          <w:sz w:val="24"/>
          <w:szCs w:val="24"/>
        </w:rPr>
        <w:t xml:space="preserve">vs</w:t>
      </w:r>
      <w:r w:rsidRPr="00C4D5E6">
        <w:rPr>
          <w:rFonts w:ascii="Times New Roman" w:hAnsi="Times New Roman" w:eastAsia="宋体"/>
          <w:sz w:val="24"/>
          <w:szCs w:val="24"/>
        </w:rPr>
        <w:t xml:space="preserve">. 33.5%, p = 0.005) and better 5-year OS rate (90.5% </w:t>
      </w:r>
      <w:r w:rsidRPr="00C4D5E6">
        <w:rPr>
          <w:i/>
          <w:rFonts w:ascii="Times New Roman" w:hAnsi="Times New Roman" w:eastAsia="宋体"/>
          <w:sz w:val="24"/>
          <w:szCs w:val="24"/>
        </w:rPr>
        <w:t xml:space="preserve">vs</w:t>
      </w:r>
      <w:r w:rsidRPr="00C4D5E6">
        <w:rPr>
          <w:rFonts w:ascii="Times New Roman" w:hAnsi="Times New Roman" w:eastAsia="宋体"/>
          <w:sz w:val="24"/>
          <w:szCs w:val="24"/>
        </w:rPr>
        <w:t xml:space="preserve">. 48.1%, p = 0.015) compared to CCRT alone. Recently a multicenter randomized phase II trial showed that adding IC prior to trimodality therapy did not improve pCR but was associated with longer median OS ([22]). In our study, the IC-CCRT group had a higher 1-year OS rate over that of the CCRT group (HR 0.445, 95% CI 0.286–0.693; p &lt; 0.001), but 2- and 3-year OS rate between the two groups was similar. Several possible reasons may explain this result. Firstly, our study focused on nonoperative EC patients; the treatment modality might influence the prognosis. Secondly, the additional IC might facilitate the elimination of occult micrometastasis for the patients with well response to chemoradiotherapy, whereas it might not carry out a positive impact for poorly responding patients and seemed to have limited benefits in long-term survival. In the study by Luo et al. ([12]), the IC responders (51%) achieved significantly more favorable OS compared with the IC nonresponder group and the CCRT alone group (p = 0.002), and there was no significant difference in terms of OS between the IC-CCRT and CCRT groups. Liu et al. ([14]) also observed that patients who responded to IC had improved survival in the </w:t>
      </w:r>
      <w:r w:rsidRPr="00C4D5E6">
        <w:rPr>
          <w:i/>
          <w:rFonts w:ascii="Times New Roman" w:hAnsi="Times New Roman" w:eastAsia="宋体"/>
          <w:sz w:val="24"/>
          <w:szCs w:val="24"/>
        </w:rPr>
        <w:t xml:space="preserve">post-hoc</w:t>
      </w:r>
      <w:r w:rsidRPr="00C4D5E6">
        <w:rPr>
          <w:rFonts w:ascii="Times New Roman" w:hAnsi="Times New Roman" w:eastAsia="宋体"/>
          <w:sz w:val="24"/>
          <w:szCs w:val="24"/>
        </w:rPr>
        <w:t xml:space="preserve"> analysis. Thirdly, histological types and tumor biological characteristics between ESCC and EAC are heterogeneous. Xi et al. ([13]) accounted for 41.9% of the total number of patients in the meta-analysis, and its negative results might impact the final analysis outcomes. However, in the sensitivity analysis after deleting this article by Xi et al. ([13]), the new results were consistent with the original results. How to predict the sensitivity to chemotherapy might be the decisive factor. Greally et al. ([23]) evaluated the predictive value of PET following IC in ESCC patients and assessed the impact of changing chemotherapy during radiation in PET nonresponders. They found that PET after IC highly predicts outcomes in ESCC patients who receive chemoradiation. Early predictions of the efficacy of induction therapy are imminent and needed to further clinical research.</w:t>
      </w:r>
    </w:p>
    <w:p w14:paraId="1A2B3DD0" w14:textId="77777777" w:rsidR="00A1B2C3" w:rsidRDefault="00A1B2C3">
      <w:pPr>
        <w:spacing w:line="480" w:lineRule="auto"/>
        <w:ind w:firstLine="480"/>
        <w:jc w:val="both"/>
      </w:pPr>
      <w:r w:rsidRPr="00C4D5E6">
        <w:rPr>
          <w:rFonts w:ascii="Times New Roman" w:hAnsi="Times New Roman" w:eastAsia="宋体"/>
          <w:sz w:val="24"/>
          <w:szCs w:val="24"/>
        </w:rPr>
        <w:t xml:space="preserve">In this meta-analysis, the patients included in the studies of CCRT-CCT </w:t>
      </w:r>
      <w:r w:rsidRPr="00C4D5E6">
        <w:rPr>
          <w:i/>
          <w:rFonts w:ascii="Times New Roman" w:hAnsi="Times New Roman" w:eastAsia="宋体"/>
          <w:sz w:val="24"/>
          <w:szCs w:val="24"/>
        </w:rPr>
        <w:t xml:space="preserve">vs</w:t>
      </w:r>
      <w:r w:rsidRPr="00C4D5E6">
        <w:rPr>
          <w:rFonts w:ascii="Times New Roman" w:hAnsi="Times New Roman" w:eastAsia="宋体"/>
          <w:sz w:val="24"/>
          <w:szCs w:val="24"/>
        </w:rPr>
        <w:t xml:space="preserve">. CCRT were all with ESCC. It was noteworthy that there were fewer patients developing distant metastases in the CCRT-CCT group than in the CCRT group [15 of 67 (22.4%) </w:t>
      </w:r>
      <w:r w:rsidRPr="00C4D5E6">
        <w:rPr>
          <w:i/>
          <w:rFonts w:ascii="Times New Roman" w:hAnsi="Times New Roman" w:eastAsia="宋体"/>
          <w:sz w:val="24"/>
          <w:szCs w:val="24"/>
        </w:rPr>
        <w:t xml:space="preserve">vs</w:t>
      </w:r>
      <w:r w:rsidRPr="00C4D5E6">
        <w:rPr>
          <w:rFonts w:ascii="Times New Roman" w:hAnsi="Times New Roman" w:eastAsia="宋体"/>
          <w:sz w:val="24"/>
          <w:szCs w:val="24"/>
        </w:rPr>
        <w:t xml:space="preserve">. 62 of 142 (43.7%), p = 0.003] in the study of Wu et al. ([15]), and the CCRT-CCT group had remarkably prolonged median OS of 26.4 months (p = 0.04), while the DMR and OS showed no differences in two other studies. In order to identify patients who may benefit from CCT, Chen et al. ([17]) conducted further analysis based on various prognostic factors, including clinical N-stage (N0, N1, and N2), clinical M-stage (M0 and M1), and so on, and no significant survival differences between CCRT-CCT and CCRT were observed in any subgroup. In our meta-analysis, the addition of CCT reduced the DMR (p = 0.015) and can improve 1- and 3-year OS rate. Koh et al. ([19]) validated the positive effect of intensified treatment on survival in ESCC patients with definitive CCRT by modern radiotherapy techniques, and 45.2% patients received radiotherapy with biologically effective dose (BED) ≥70 Gy. As the radiation doses in the involved studies were not uniform, whether the additional CCT is the main factor affecting prognosis needs to be further explored. Also, whether patients who responded poorly to CCRT could gain a survival benefit from CCT needs to be studied further. Kim et al. ([24]) divided patients who received CCT after CCRT into “good risk” and “poor risk” groups based on smoking &gt;20 pack-years, dysphagia scores &gt;2, and so on. In the “good risk” group, patients with following CCT showed better OS than those without (30.4 </w:t>
      </w:r>
      <w:r w:rsidRPr="00C4D5E6">
        <w:rPr>
          <w:i/>
          <w:rFonts w:ascii="Times New Roman" w:hAnsi="Times New Roman" w:eastAsia="宋体"/>
          <w:sz w:val="24"/>
          <w:szCs w:val="24"/>
        </w:rPr>
        <w:t xml:space="preserve">vs</w:t>
      </w:r>
      <w:r w:rsidRPr="00C4D5E6">
        <w:rPr>
          <w:rFonts w:ascii="Times New Roman" w:hAnsi="Times New Roman" w:eastAsia="宋体"/>
          <w:sz w:val="24"/>
          <w:szCs w:val="24"/>
        </w:rPr>
        <w:t xml:space="preserve">. 12.0 m, p = 0.002), whereas patients failed to obtain benefits from CCT in the “poor risk group” (14.0 </w:t>
      </w:r>
      <w:r w:rsidRPr="00C4D5E6">
        <w:rPr>
          <w:i/>
          <w:rFonts w:ascii="Times New Roman" w:hAnsi="Times New Roman" w:eastAsia="宋体"/>
          <w:sz w:val="24"/>
          <w:szCs w:val="24"/>
        </w:rPr>
        <w:t xml:space="preserve">vs</w:t>
      </w:r>
      <w:r w:rsidRPr="00C4D5E6">
        <w:rPr>
          <w:rFonts w:ascii="Times New Roman" w:hAnsi="Times New Roman" w:eastAsia="宋体"/>
          <w:sz w:val="24"/>
          <w:szCs w:val="24"/>
        </w:rPr>
        <w:t xml:space="preserve">. 12.0 m, p = 0.828). In view of the 1- and 3-year OS survival improved by CCT, but not 2- and 5-year OS rate of our conclusion, the results were not robust enough and the value of CCT is still worthy of further exploration.</w:t>
      </w:r>
    </w:p>
    <w:p w14:paraId="1A2B3DD1" w14:textId="77777777" w:rsidR="00A1B2C3" w:rsidRDefault="00A1B2C3">
      <w:pPr>
        <w:spacing w:line="480" w:lineRule="auto"/>
        <w:ind w:firstLine="480"/>
        <w:jc w:val="both"/>
      </w:pPr>
      <w:r w:rsidRPr="00C4D5E6">
        <w:rPr>
          <w:rFonts w:ascii="Times New Roman" w:hAnsi="Times New Roman" w:eastAsia="宋体"/>
          <w:sz w:val="24"/>
          <w:szCs w:val="24"/>
        </w:rPr>
        <w:t xml:space="preserve">The emergence of immunotherapy has changed the traditional treatment modalities of advanced cancers including EC. A multicenter, phase II, proof-of-concept study is ongoing to assess the efficacy and safety of atezolizumab in locally advanced ESCC patients who previously were treated with CCRT ([25]). The KEYNOTE-975 study (under recruitment) is a phase III randomized trial evaluating the efficacy of pembrolizumab in combination with definitive CCRT with fluorouracil and oxaliplatin or cisplatin in patients with locally advanced ESCC, EAC, and Siewert I adenocarcinoma of the gastroesophageal junction. Another ongoing phase III trial, BGB-A317-311, aims to assess the efficacy of tislelizumab </w:t>
      </w:r>
      <w:r w:rsidRPr="00C4D5E6">
        <w:rPr>
          <w:i/>
          <w:rFonts w:ascii="Times New Roman" w:hAnsi="Times New Roman" w:eastAsia="宋体"/>
          <w:sz w:val="24"/>
          <w:szCs w:val="24"/>
        </w:rPr>
        <w:t xml:space="preserve">vs</w:t>
      </w:r>
      <w:r w:rsidRPr="00C4D5E6">
        <w:rPr>
          <w:rFonts w:ascii="Times New Roman" w:hAnsi="Times New Roman" w:eastAsia="宋体"/>
          <w:sz w:val="24"/>
          <w:szCs w:val="24"/>
        </w:rPr>
        <w:t xml:space="preserve">. placebo in combination with CCRT and cisplatin and paclitaxel in localized ESCC. Relevant ongoing trials combining immunotherapy with CCRT in non-metastatic EC are represented in </w:t>
      </w:r>
      <w:r w:rsidRPr="00C4D5E6">
        <w:rPr>
          <w:b/>
          <w:rFonts w:ascii="Times New Roman" w:hAnsi="Times New Roman" w:eastAsia="宋体"/>
          <w:sz w:val="24"/>
          <w:szCs w:val="24"/>
        </w:rPr>
        <w:t xml:space="preserve">Table 7</w:t>
      </w:r>
      <w:r w:rsidRPr="00C4D5E6">
        <w:rPr>
          <w:rFonts w:ascii="Times New Roman" w:hAnsi="Times New Roman" w:eastAsia="宋体"/>
          <w:sz w:val="24"/>
          <w:szCs w:val="24"/>
        </w:rPr>
        <w:t xml:space="preserve">. These investigations provide new leads for the optimal treatment pattern for EC patients.</w:t>
      </w:r>
    </w:p>
    <w:p w14:paraId="1A2B3DD2" w14:textId="77777777" w:rsidR="00A1B2C3" w:rsidRDefault="00A1B2C3">
      <w:pPr>
        <w:spacing w:line="480" w:lineRule="auto"/>
        <w:ind w:firstLine="480"/>
        <w:jc w:val="both"/>
      </w:pPr>
      <w:r w:rsidRPr="00C4D5E6">
        <w:rPr>
          <w:b/>
          <w:rFonts w:ascii="Times New Roman" w:hAnsi="Times New Roman" w:eastAsia="宋体"/>
          <w:sz w:val="24"/>
          <w:szCs w:val="24"/>
        </w:rPr>
        <w:t xml:space="preserve">Table 7.</w:t>
      </w:r>
      <w:r w:rsidRPr="00C4D5E6">
        <w:rPr>
          <w:rFonts w:ascii="Times New Roman" w:hAnsi="Times New Roman" w:eastAsia="宋体"/>
          <w:sz w:val="24"/>
          <w:szCs w:val="24"/>
        </w:rPr>
        <w:t xml:space="preserve"> Selected ongoing RCTs evaluating immunotherapy combined with CCRT and consolidation immunotherapy.</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1125"/>
        <w:gridCol w:w="1125"/>
        <w:gridCol w:w="1125"/>
        <w:gridCol w:w="1125"/>
        <w:gridCol w:w="1125"/>
        <w:gridCol w:w="1125"/>
        <w:gridCol w:w="1125"/>
        <w:gridCol w:w="1125"/>
      </w:tblGrid>
      <w:tr>
        <w:trPr>
          <w:tblHeader/>
        </w:trPr>
        <w:tc>
          <w:tcPr>
            <w:tcW w:w="1125" w:type="dxa"/>
          </w:tcPr>
          <w:p w14:paraId="1A2B3DD3" w14:textId="77777777" w:rsidR="00A1B2C3" w:rsidRDefault="00A1B2C3">
            <w:r w:rsidRPr="00C4D5E6">
              <w:rPr>
                <w:rFonts w:ascii="Times New Roman" w:hAnsi="Times New Roman" w:eastAsia="宋体"/>
                <w:sz w:val="24"/>
                <w:szCs w:val="24"/>
              </w:rPr>
              <w:t xml:space="preserve">NCT number</w:t>
            </w:r>
          </w:p>
        </w:tc>
        <w:tc>
          <w:tcPr>
            <w:tcW w:w="1125" w:type="dxa"/>
          </w:tcPr>
          <w:p w14:paraId="1A2B3DD4" w14:textId="77777777" w:rsidR="00A1B2C3" w:rsidRDefault="00A1B2C3">
            <w:r w:rsidRPr="00C4D5E6">
              <w:rPr>
                <w:rFonts w:ascii="Times New Roman" w:hAnsi="Times New Roman" w:eastAsia="宋体"/>
                <w:sz w:val="24"/>
                <w:szCs w:val="24"/>
              </w:rPr>
              <w:t xml:space="preserve">Country</w:t>
            </w:r>
          </w:p>
        </w:tc>
        <w:tc>
          <w:tcPr>
            <w:tcW w:w="1125" w:type="dxa"/>
          </w:tcPr>
          <w:p w14:paraId="1A2B3DD5" w14:textId="77777777" w:rsidR="00A1B2C3" w:rsidRDefault="00A1B2C3">
            <w:r w:rsidRPr="00C4D5E6">
              <w:rPr>
                <w:rFonts w:ascii="Times New Roman" w:hAnsi="Times New Roman" w:eastAsia="宋体"/>
                <w:sz w:val="24"/>
                <w:szCs w:val="24"/>
              </w:rPr>
              <w:t xml:space="preserve">Phase</w:t>
            </w:r>
          </w:p>
        </w:tc>
        <w:tc>
          <w:tcPr>
            <w:tcW w:w="1125" w:type="dxa"/>
          </w:tcPr>
          <w:p w14:paraId="1A2B3DD6" w14:textId="77777777" w:rsidR="00A1B2C3" w:rsidRDefault="00A1B2C3">
            <w:r w:rsidRPr="00C4D5E6">
              <w:rPr>
                <w:rFonts w:ascii="Times New Roman" w:hAnsi="Times New Roman" w:eastAsia="宋体"/>
                <w:sz w:val="24"/>
                <w:szCs w:val="24"/>
              </w:rPr>
              <w:t xml:space="preserve">Histology</w:t>
            </w:r>
          </w:p>
        </w:tc>
        <w:tc>
          <w:tcPr>
            <w:tcW w:w="1125" w:type="dxa"/>
          </w:tcPr>
          <w:p w14:paraId="1A2B3DD7" w14:textId="77777777" w:rsidR="00A1B2C3" w:rsidRDefault="00A1B2C3">
            <w:r w:rsidRPr="00C4D5E6">
              <w:rPr>
                <w:rFonts w:ascii="Times New Roman" w:hAnsi="Times New Roman" w:eastAsia="宋体"/>
                <w:sz w:val="24"/>
                <w:szCs w:val="24"/>
              </w:rPr>
              <w:t xml:space="preserve">Start date</w:t>
            </w:r>
          </w:p>
        </w:tc>
        <w:tc>
          <w:tcPr>
            <w:tcW w:w="1125" w:type="dxa"/>
          </w:tcPr>
          <w:p w14:paraId="1A2B3DD8" w14:textId="77777777" w:rsidR="00A1B2C3" w:rsidRDefault="00A1B2C3">
            <w:r w:rsidRPr="00C4D5E6">
              <w:rPr>
                <w:rFonts w:ascii="Times New Roman" w:hAnsi="Times New Roman" w:eastAsia="宋体"/>
                <w:sz w:val="24"/>
                <w:szCs w:val="24"/>
              </w:rPr>
              <w:t xml:space="preserve">Estimated completion date</w:t>
            </w:r>
          </w:p>
        </w:tc>
        <w:tc>
          <w:tcPr>
            <w:tcW w:w="1125" w:type="dxa"/>
          </w:tcPr>
          <w:p w14:paraId="1A2B3DD9" w14:textId="77777777" w:rsidR="00A1B2C3" w:rsidRDefault="00A1B2C3">
            <w:r w:rsidRPr="00C4D5E6">
              <w:rPr>
                <w:rFonts w:ascii="Times New Roman" w:hAnsi="Times New Roman" w:eastAsia="宋体"/>
                <w:sz w:val="24"/>
                <w:szCs w:val="24"/>
              </w:rPr>
              <w:t xml:space="preserve">Study treatment</w:t>
            </w:r>
          </w:p>
        </w:tc>
        <w:tc>
          <w:tcPr>
            <w:tcW w:w="1125" w:type="dxa"/>
          </w:tcPr>
          <w:p w14:paraId="1A2B3DDA" w14:textId="77777777" w:rsidR="00A1B2C3" w:rsidRDefault="00A1B2C3">
            <w:r w:rsidRPr="00C4D5E6">
              <w:rPr>
                <w:rFonts w:ascii="Times New Roman" w:hAnsi="Times New Roman" w:eastAsia="宋体"/>
                <w:sz w:val="24"/>
                <w:szCs w:val="24"/>
              </w:rPr>
              <w:t xml:space="preserve">Estimated enrollment</w:t>
            </w:r>
          </w:p>
        </w:tc>
      </w:tr>
      <w:tr>
        <w:tc>
          <w:tcPr>
            <w:tcW w:w="1125" w:type="dxa"/>
          </w:tcPr>
          <w:p w14:paraId="1A2B3DDB" w14:textId="77777777" w:rsidR="00A1B2C3" w:rsidRDefault="00A1B2C3">
            <w:r w:rsidRPr="00C4D5E6">
              <w:rPr>
                <w:rFonts w:ascii="Times New Roman" w:hAnsi="Times New Roman" w:eastAsia="宋体"/>
                <w:sz w:val="24"/>
                <w:szCs w:val="24"/>
              </w:rPr>
              <w:t xml:space="preserve">NCT04426955</w:t>
            </w:r>
          </w:p>
        </w:tc>
        <w:tc>
          <w:tcPr>
            <w:tcW w:w="1125" w:type="dxa"/>
          </w:tcPr>
          <w:p w14:paraId="1A2B3DDC" w14:textId="77777777" w:rsidR="00A1B2C3" w:rsidRDefault="00A1B2C3">
            <w:r w:rsidRPr="00C4D5E6">
              <w:rPr>
                <w:rFonts w:ascii="Times New Roman" w:hAnsi="Times New Roman" w:eastAsia="宋体"/>
                <w:sz w:val="24"/>
                <w:szCs w:val="24"/>
              </w:rPr>
              <w:t xml:space="preserve">China</w:t>
            </w:r>
          </w:p>
        </w:tc>
        <w:tc>
          <w:tcPr>
            <w:tcW w:w="1125" w:type="dxa"/>
          </w:tcPr>
          <w:p w14:paraId="1A2B3DDD" w14:textId="77777777" w:rsidR="00A1B2C3" w:rsidRDefault="00A1B2C3">
            <w:r w:rsidRPr="00C4D5E6">
              <w:rPr>
                <w:rFonts w:ascii="Times New Roman" w:hAnsi="Times New Roman" w:eastAsia="宋体"/>
                <w:sz w:val="24"/>
                <w:szCs w:val="24"/>
              </w:rPr>
              <w:t xml:space="preserve">III</w:t>
            </w:r>
          </w:p>
        </w:tc>
        <w:tc>
          <w:tcPr>
            <w:tcW w:w="1125" w:type="dxa"/>
          </w:tcPr>
          <w:p w14:paraId="1A2B3DDE" w14:textId="77777777" w:rsidR="00A1B2C3" w:rsidRDefault="00A1B2C3">
            <w:r w:rsidRPr="00C4D5E6">
              <w:rPr>
                <w:rFonts w:ascii="Times New Roman" w:hAnsi="Times New Roman" w:eastAsia="宋体"/>
                <w:sz w:val="24"/>
                <w:szCs w:val="24"/>
              </w:rPr>
              <w:t xml:space="preserve">ESCC</w:t>
            </w:r>
          </w:p>
        </w:tc>
        <w:tc>
          <w:tcPr>
            <w:tcW w:w="1125" w:type="dxa"/>
          </w:tcPr>
          <w:p w14:paraId="1A2B3DDF" w14:textId="77777777" w:rsidR="00A1B2C3" w:rsidRDefault="00A1B2C3">
            <w:r w:rsidRPr="00C4D5E6">
              <w:rPr>
                <w:rFonts w:ascii="Times New Roman" w:hAnsi="Times New Roman" w:eastAsia="宋体"/>
                <w:sz w:val="24"/>
                <w:szCs w:val="24"/>
              </w:rPr>
              <w:t xml:space="preserve">2020</w:t>
            </w:r>
          </w:p>
        </w:tc>
        <w:tc>
          <w:tcPr>
            <w:tcW w:w="1125" w:type="dxa"/>
          </w:tcPr>
          <w:p w14:paraId="1A2B3DE0" w14:textId="77777777" w:rsidR="00A1B2C3" w:rsidRDefault="00A1B2C3">
            <w:r w:rsidRPr="00C4D5E6">
              <w:rPr>
                <w:rFonts w:ascii="Times New Roman" w:hAnsi="Times New Roman" w:eastAsia="宋体"/>
                <w:sz w:val="24"/>
                <w:szCs w:val="24"/>
              </w:rPr>
              <w:t xml:space="preserve">2022</w:t>
            </w:r>
          </w:p>
        </w:tc>
        <w:tc>
          <w:tcPr>
            <w:tcW w:w="1125" w:type="dxa"/>
          </w:tcPr>
          <w:p w14:paraId="1A2B3DE1" w14:textId="77777777" w:rsidR="00A1B2C3" w:rsidRDefault="00A1B2C3">
            <w:r w:rsidRPr="00C4D5E6">
              <w:rPr>
                <w:rFonts w:ascii="Times New Roman" w:hAnsi="Times New Roman" w:eastAsia="宋体"/>
                <w:sz w:val="24"/>
                <w:szCs w:val="24"/>
              </w:rPr>
              <w:t xml:space="preserve">CCRT ± concurrent and sequential SHR-1210</w:t>
            </w:r>
          </w:p>
        </w:tc>
        <w:tc>
          <w:tcPr>
            <w:tcW w:w="1125" w:type="dxa"/>
          </w:tcPr>
          <w:p w14:paraId="1A2B3DE2" w14:textId="77777777" w:rsidR="00A1B2C3" w:rsidRDefault="00A1B2C3">
            <w:r w:rsidRPr="00C4D5E6">
              <w:rPr>
                <w:rFonts w:ascii="Times New Roman" w:hAnsi="Times New Roman" w:eastAsia="宋体"/>
                <w:sz w:val="24"/>
                <w:szCs w:val="24"/>
              </w:rPr>
              <w:t xml:space="preserve">390</w:t>
            </w:r>
          </w:p>
        </w:tc>
      </w:tr>
      <w:tr>
        <w:tc>
          <w:tcPr>
            <w:tcW w:w="1125" w:type="dxa"/>
          </w:tcPr>
          <w:p w14:paraId="1A2B3DE3" w14:textId="77777777" w:rsidR="00A1B2C3" w:rsidRDefault="00A1B2C3">
            <w:r w:rsidRPr="00C4D5E6">
              <w:rPr>
                <w:rFonts w:ascii="Times New Roman" w:hAnsi="Times New Roman" w:eastAsia="宋体"/>
                <w:sz w:val="24"/>
                <w:szCs w:val="24"/>
              </w:rPr>
              <w:t xml:space="preserve">NCT03957590</w:t>
            </w:r>
          </w:p>
        </w:tc>
        <w:tc>
          <w:tcPr>
            <w:tcW w:w="1125" w:type="dxa"/>
          </w:tcPr>
          <w:p w14:paraId="1A2B3DE4" w14:textId="77777777" w:rsidR="00A1B2C3" w:rsidRDefault="00A1B2C3">
            <w:r w:rsidRPr="00C4D5E6">
              <w:rPr>
                <w:rFonts w:ascii="Times New Roman" w:hAnsi="Times New Roman" w:eastAsia="宋体"/>
                <w:sz w:val="24"/>
                <w:szCs w:val="24"/>
              </w:rPr>
              <w:t xml:space="preserve">China</w:t>
            </w:r>
          </w:p>
        </w:tc>
        <w:tc>
          <w:tcPr>
            <w:tcW w:w="1125" w:type="dxa"/>
          </w:tcPr>
          <w:p w14:paraId="1A2B3DE5" w14:textId="77777777" w:rsidR="00A1B2C3" w:rsidRDefault="00A1B2C3">
            <w:r w:rsidRPr="00C4D5E6">
              <w:rPr>
                <w:rFonts w:ascii="Times New Roman" w:hAnsi="Times New Roman" w:eastAsia="宋体"/>
                <w:sz w:val="24"/>
                <w:szCs w:val="24"/>
              </w:rPr>
              <w:t xml:space="preserve">III</w:t>
            </w:r>
          </w:p>
        </w:tc>
        <w:tc>
          <w:tcPr>
            <w:tcW w:w="1125" w:type="dxa"/>
          </w:tcPr>
          <w:p w14:paraId="1A2B3DE6" w14:textId="77777777" w:rsidR="00A1B2C3" w:rsidRDefault="00A1B2C3">
            <w:r w:rsidRPr="00C4D5E6">
              <w:rPr>
                <w:rFonts w:ascii="Times New Roman" w:hAnsi="Times New Roman" w:eastAsia="宋体"/>
                <w:sz w:val="24"/>
                <w:szCs w:val="24"/>
              </w:rPr>
              <w:t xml:space="preserve">ESCC</w:t>
            </w:r>
          </w:p>
        </w:tc>
        <w:tc>
          <w:tcPr>
            <w:tcW w:w="1125" w:type="dxa"/>
          </w:tcPr>
          <w:p w14:paraId="1A2B3DE7" w14:textId="77777777" w:rsidR="00A1B2C3" w:rsidRDefault="00A1B2C3">
            <w:r w:rsidRPr="00C4D5E6">
              <w:rPr>
                <w:rFonts w:ascii="Times New Roman" w:hAnsi="Times New Roman" w:eastAsia="宋体"/>
                <w:sz w:val="24"/>
                <w:szCs w:val="24"/>
              </w:rPr>
              <w:t xml:space="preserve">2019</w:t>
            </w:r>
          </w:p>
        </w:tc>
        <w:tc>
          <w:tcPr>
            <w:tcW w:w="1125" w:type="dxa"/>
          </w:tcPr>
          <w:p w14:paraId="1A2B3DE8" w14:textId="77777777" w:rsidR="00A1B2C3" w:rsidRDefault="00A1B2C3">
            <w:r w:rsidRPr="00C4D5E6">
              <w:rPr>
                <w:rFonts w:ascii="Times New Roman" w:hAnsi="Times New Roman" w:eastAsia="宋体"/>
                <w:sz w:val="24"/>
                <w:szCs w:val="24"/>
              </w:rPr>
              <w:t xml:space="preserve">2023</w:t>
            </w:r>
          </w:p>
        </w:tc>
        <w:tc>
          <w:tcPr>
            <w:tcW w:w="1125" w:type="dxa"/>
          </w:tcPr>
          <w:p w14:paraId="1A2B3DE9" w14:textId="77777777" w:rsidR="00A1B2C3" w:rsidRDefault="00A1B2C3">
            <w:r w:rsidRPr="00C4D5E6">
              <w:rPr>
                <w:rFonts w:ascii="Times New Roman" w:hAnsi="Times New Roman" w:eastAsia="宋体"/>
                <w:sz w:val="24"/>
                <w:szCs w:val="24"/>
              </w:rPr>
              <w:t xml:space="preserve">CCRT ± concurrent and sequential tislelizumab</w:t>
            </w:r>
          </w:p>
        </w:tc>
        <w:tc>
          <w:tcPr>
            <w:tcW w:w="1125" w:type="dxa"/>
          </w:tcPr>
          <w:p w14:paraId="1A2B3DEA" w14:textId="77777777" w:rsidR="00A1B2C3" w:rsidRDefault="00A1B2C3">
            <w:r w:rsidRPr="00C4D5E6">
              <w:rPr>
                <w:rFonts w:ascii="Times New Roman" w:hAnsi="Times New Roman" w:eastAsia="宋体"/>
                <w:sz w:val="24"/>
                <w:szCs w:val="24"/>
              </w:rPr>
              <w:t xml:space="preserve">316</w:t>
            </w:r>
          </w:p>
        </w:tc>
      </w:tr>
      <w:tr>
        <w:tc>
          <w:tcPr>
            <w:tcW w:w="1125" w:type="dxa"/>
          </w:tcPr>
          <w:p w14:paraId="1A2B3DEB" w14:textId="77777777" w:rsidR="00A1B2C3" w:rsidRDefault="00A1B2C3">
            <w:r w:rsidRPr="00C4D5E6">
              <w:rPr>
                <w:rFonts w:ascii="Times New Roman" w:hAnsi="Times New Roman" w:eastAsia="宋体"/>
                <w:sz w:val="24"/>
                <w:szCs w:val="24"/>
              </w:rPr>
              <w:t xml:space="preserve">NCT04210115</w:t>
            </w:r>
          </w:p>
        </w:tc>
        <w:tc>
          <w:tcPr>
            <w:tcW w:w="1125" w:type="dxa"/>
          </w:tcPr>
          <w:p w14:paraId="1A2B3DEC" w14:textId="77777777" w:rsidR="00A1B2C3" w:rsidRDefault="00A1B2C3">
            <w:r w:rsidRPr="00C4D5E6">
              <w:rPr>
                <w:rFonts w:ascii="Times New Roman" w:hAnsi="Times New Roman" w:eastAsia="宋体"/>
                <w:sz w:val="24"/>
                <w:szCs w:val="24"/>
              </w:rPr>
              <w:t xml:space="preserve">Global</w:t>
            </w:r>
          </w:p>
        </w:tc>
        <w:tc>
          <w:tcPr>
            <w:tcW w:w="1125" w:type="dxa"/>
          </w:tcPr>
          <w:p w14:paraId="1A2B3DED" w14:textId="77777777" w:rsidR="00A1B2C3" w:rsidRDefault="00A1B2C3">
            <w:r w:rsidRPr="00C4D5E6">
              <w:rPr>
                <w:rFonts w:ascii="Times New Roman" w:hAnsi="Times New Roman" w:eastAsia="宋体"/>
                <w:sz w:val="24"/>
                <w:szCs w:val="24"/>
              </w:rPr>
              <w:t xml:space="preserve">III</w:t>
            </w:r>
          </w:p>
        </w:tc>
        <w:tc>
          <w:tcPr>
            <w:tcW w:w="1125" w:type="dxa"/>
          </w:tcPr>
          <w:p w14:paraId="1A2B3DEE" w14:textId="77777777" w:rsidR="00A1B2C3" w:rsidRDefault="00A1B2C3">
            <w:r w:rsidRPr="00C4D5E6">
              <w:rPr>
                <w:rFonts w:ascii="Times New Roman" w:hAnsi="Times New Roman" w:eastAsia="宋体"/>
                <w:sz w:val="24"/>
                <w:szCs w:val="24"/>
              </w:rPr>
              <w:t xml:space="preserve">ESCC, EAC</w:t>
            </w:r>
          </w:p>
        </w:tc>
        <w:tc>
          <w:tcPr>
            <w:tcW w:w="1125" w:type="dxa"/>
          </w:tcPr>
          <w:p w14:paraId="1A2B3DEF" w14:textId="77777777" w:rsidR="00A1B2C3" w:rsidRDefault="00A1B2C3">
            <w:r w:rsidRPr="00C4D5E6">
              <w:rPr>
                <w:rFonts w:ascii="Times New Roman" w:hAnsi="Times New Roman" w:eastAsia="宋体"/>
                <w:sz w:val="24"/>
                <w:szCs w:val="24"/>
              </w:rPr>
              <w:t xml:space="preserve">2020</w:t>
            </w:r>
          </w:p>
        </w:tc>
        <w:tc>
          <w:tcPr>
            <w:tcW w:w="1125" w:type="dxa"/>
          </w:tcPr>
          <w:p w14:paraId="1A2B3DF0" w14:textId="77777777" w:rsidR="00A1B2C3" w:rsidRDefault="00A1B2C3">
            <w:r w:rsidRPr="00C4D5E6">
              <w:rPr>
                <w:rFonts w:ascii="Times New Roman" w:hAnsi="Times New Roman" w:eastAsia="宋体"/>
                <w:sz w:val="24"/>
                <w:szCs w:val="24"/>
              </w:rPr>
              <w:t xml:space="preserve">2026</w:t>
            </w:r>
          </w:p>
        </w:tc>
        <w:tc>
          <w:tcPr>
            <w:tcW w:w="1125" w:type="dxa"/>
          </w:tcPr>
          <w:p w14:paraId="1A2B3DF1" w14:textId="77777777" w:rsidR="00A1B2C3" w:rsidRDefault="00A1B2C3">
            <w:r w:rsidRPr="00C4D5E6">
              <w:rPr>
                <w:rFonts w:ascii="Times New Roman" w:hAnsi="Times New Roman" w:eastAsia="宋体"/>
                <w:sz w:val="24"/>
                <w:szCs w:val="24"/>
              </w:rPr>
              <w:t xml:space="preserve">CCRT ± concurrent and sequential pembrolizumab</w:t>
            </w:r>
          </w:p>
        </w:tc>
        <w:tc>
          <w:tcPr>
            <w:tcW w:w="1125" w:type="dxa"/>
          </w:tcPr>
          <w:p w14:paraId="1A2B3DF2" w14:textId="77777777" w:rsidR="00A1B2C3" w:rsidRDefault="00A1B2C3">
            <w:r w:rsidRPr="00C4D5E6">
              <w:rPr>
                <w:rFonts w:ascii="Times New Roman" w:hAnsi="Times New Roman" w:eastAsia="宋体"/>
                <w:sz w:val="24"/>
                <w:szCs w:val="24"/>
              </w:rPr>
              <w:t xml:space="preserve">600</w:t>
            </w:r>
          </w:p>
        </w:tc>
      </w:tr>
      <w:tr>
        <w:tc>
          <w:tcPr>
            <w:tcW w:w="1125" w:type="dxa"/>
          </w:tcPr>
          <w:p w14:paraId="1A2B3DF3" w14:textId="77777777" w:rsidR="00A1B2C3" w:rsidRDefault="00A1B2C3">
            <w:r w:rsidRPr="00C4D5E6">
              <w:rPr>
                <w:rFonts w:ascii="Times New Roman" w:hAnsi="Times New Roman" w:eastAsia="宋体"/>
                <w:sz w:val="24"/>
                <w:szCs w:val="24"/>
              </w:rPr>
              <w:t xml:space="preserve">NCT04550260</w:t>
            </w:r>
          </w:p>
        </w:tc>
        <w:tc>
          <w:tcPr>
            <w:tcW w:w="1125" w:type="dxa"/>
          </w:tcPr>
          <w:p w14:paraId="1A2B3DF4" w14:textId="77777777" w:rsidR="00A1B2C3" w:rsidRDefault="00A1B2C3">
            <w:r w:rsidRPr="00C4D5E6">
              <w:rPr>
                <w:rFonts w:ascii="Times New Roman" w:hAnsi="Times New Roman" w:eastAsia="宋体"/>
                <w:sz w:val="24"/>
                <w:szCs w:val="24"/>
              </w:rPr>
              <w:t xml:space="preserve">US</w:t>
            </w:r>
          </w:p>
        </w:tc>
        <w:tc>
          <w:tcPr>
            <w:tcW w:w="1125" w:type="dxa"/>
          </w:tcPr>
          <w:p w14:paraId="1A2B3DF5" w14:textId="77777777" w:rsidR="00A1B2C3" w:rsidRDefault="00A1B2C3">
            <w:r w:rsidRPr="00C4D5E6">
              <w:rPr>
                <w:rFonts w:ascii="Times New Roman" w:hAnsi="Times New Roman" w:eastAsia="宋体"/>
                <w:sz w:val="24"/>
                <w:szCs w:val="24"/>
              </w:rPr>
              <w:t xml:space="preserve">III</w:t>
            </w:r>
          </w:p>
        </w:tc>
        <w:tc>
          <w:tcPr>
            <w:tcW w:w="1125" w:type="dxa"/>
          </w:tcPr>
          <w:p w14:paraId="1A2B3DF6" w14:textId="77777777" w:rsidR="00A1B2C3" w:rsidRDefault="00A1B2C3">
            <w:r w:rsidRPr="00C4D5E6">
              <w:rPr>
                <w:rFonts w:ascii="Times New Roman" w:hAnsi="Times New Roman" w:eastAsia="宋体"/>
                <w:sz w:val="24"/>
                <w:szCs w:val="24"/>
              </w:rPr>
              <w:t xml:space="preserve">ESCC</w:t>
            </w:r>
          </w:p>
        </w:tc>
        <w:tc>
          <w:tcPr>
            <w:tcW w:w="1125" w:type="dxa"/>
          </w:tcPr>
          <w:p w14:paraId="1A2B3DF7" w14:textId="77777777" w:rsidR="00A1B2C3" w:rsidRDefault="00A1B2C3">
            <w:r w:rsidRPr="00C4D5E6">
              <w:rPr>
                <w:rFonts w:ascii="Times New Roman" w:hAnsi="Times New Roman" w:eastAsia="宋体"/>
                <w:sz w:val="24"/>
                <w:szCs w:val="24"/>
              </w:rPr>
              <w:t xml:space="preserve">2020</w:t>
            </w:r>
          </w:p>
        </w:tc>
        <w:tc>
          <w:tcPr>
            <w:tcW w:w="1125" w:type="dxa"/>
          </w:tcPr>
          <w:p w14:paraId="1A2B3DF8" w14:textId="77777777" w:rsidR="00A1B2C3" w:rsidRDefault="00A1B2C3">
            <w:r w:rsidRPr="00C4D5E6">
              <w:rPr>
                <w:rFonts w:ascii="Times New Roman" w:hAnsi="Times New Roman" w:eastAsia="宋体"/>
                <w:sz w:val="24"/>
                <w:szCs w:val="24"/>
              </w:rPr>
              <w:t xml:space="preserve">2025</w:t>
            </w:r>
          </w:p>
        </w:tc>
        <w:tc>
          <w:tcPr>
            <w:tcW w:w="1125" w:type="dxa"/>
          </w:tcPr>
          <w:p w14:paraId="1A2B3DF9" w14:textId="77777777" w:rsidR="00A1B2C3" w:rsidRDefault="00A1B2C3">
            <w:r w:rsidRPr="00C4D5E6">
              <w:rPr>
                <w:rFonts w:ascii="Times New Roman" w:hAnsi="Times New Roman" w:eastAsia="宋体"/>
                <w:sz w:val="24"/>
                <w:szCs w:val="24"/>
              </w:rPr>
              <w:t xml:space="preserve">CCRT ± concurrent and sequential durvalumab</w:t>
            </w:r>
          </w:p>
        </w:tc>
        <w:tc>
          <w:tcPr>
            <w:tcW w:w="1125" w:type="dxa"/>
          </w:tcPr>
          <w:p w14:paraId="1A2B3DFA" w14:textId="77777777" w:rsidR="00A1B2C3" w:rsidRDefault="00A1B2C3">
            <w:r w:rsidRPr="00C4D5E6">
              <w:rPr>
                <w:rFonts w:ascii="Times New Roman" w:hAnsi="Times New Roman" w:eastAsia="宋体"/>
                <w:sz w:val="24"/>
                <w:szCs w:val="24"/>
              </w:rPr>
              <w:t xml:space="preserve">600</w:t>
            </w:r>
          </w:p>
        </w:tc>
      </w:tr>
    </w:tbl>
    <w:p w14:paraId="1A2B3DFB" w14:textId="77777777" w:rsidR="00A1B2C3" w:rsidRDefault="00A1B2C3">
      <w:pPr>
        <w:spacing w:line="480" w:lineRule="auto"/>
        <w:ind w:firstLine="480"/>
        <w:jc w:val="both"/>
      </w:pPr>
      <w:r w:rsidRPr="00C4D5E6">
        <w:rPr>
          <w:i/>
          <w:rFonts w:ascii="Times New Roman" w:hAnsi="Times New Roman" w:eastAsia="宋体"/>
          <w:sz w:val="24"/>
          <w:szCs w:val="24"/>
        </w:rPr>
        <w:t xml:space="preserve">CCRT, concurrent chemoradiotherapy; EAC, esophageal adenocarcinoma; ESCC, esophageal squamous cell carcinoma; RCT, randomized controlled trial.</w:t>
      </w:r>
    </w:p>
    <w:p w14:paraId="1A2B3DFC" w14:textId="77777777" w:rsidR="00A1B2C3" w:rsidRDefault="00A1B2C3">
      <w:pPr>
        <w:spacing w:line="480" w:lineRule="auto"/>
        <w:ind w:firstLine="480"/>
        <w:jc w:val="both"/>
      </w:pPr>
      <w:r w:rsidRPr="00C4D5E6">
        <w:rPr>
          <w:rFonts w:ascii="Times New Roman" w:hAnsi="Times New Roman" w:eastAsia="宋体"/>
          <w:sz w:val="24"/>
          <w:szCs w:val="24"/>
        </w:rPr>
        <w:t xml:space="preserve">Our meta-analysis had some limitations. Firstly, as these studies were searched among published articles written in English, and statistical analysis was limited to the published data, language bias may exist. Secondly, nine of 10 included studies were retrospective studies, with the one prospective randomized study only including 110 cases. It was a pity that no randomized trial and prospective study with large cases has been published yet. Thirdly, we failed to perform subgroup analyses based on tumor stage, chemotherapy regimens, and radiation doses. As is well known, clinical stage is an independent prognostic factor. In our meta-analysis, approximately 10%–16% of the EC patients with stage I and stage IV were involved; although this factor of staging seems to be controlled and well balanced between the two groups in the original studies, this confounding factor still remains to be controlled in future studies. By far, there is still no consensus reached whether chemotherapy regimens influenced survival for EC patients with definitive concurrent chemoradiotherapy (dCRT) or not ([26], [27]); nevertheless, chemotherapy regimen and cycles of IC, CCT, and CCRT were inconsistent in our meta-analysis, which might have some potential impact on the result. Besides, we conducted sensitivity analysis in order to explore heterogeneity of dose delivery; after deleting each article in turn and reanalyzing the remaining research, the new results were consistent with the original results. In addition, the recently published randomized studies ([28], [29]) showed that no differences in OS were observed between 50 and 60 Gy.</w:t>
      </w:r>
    </w:p>
    <w:p w14:paraId="1A2B3DFD" w14:textId="77777777" w:rsidR="00A1B2C3" w:rsidRDefault="00A1B2C3">
      <w:pPr>
        <w:spacing w:line="480" w:lineRule="auto"/>
        <w:ind w:firstLine="480"/>
        <w:jc w:val="both"/>
      </w:pPr>
      <w:r w:rsidRPr="00C4D5E6">
        <w:rPr>
          <w:rFonts w:ascii="Times New Roman" w:hAnsi="Times New Roman" w:eastAsia="宋体"/>
          <w:sz w:val="24"/>
          <w:szCs w:val="24"/>
        </w:rPr>
        <w:t xml:space="preserve">In conclusion, the study revealed that additional IC or CCT with CCRT could prolong short-term survival in unresectable EC patients. Besides, the addition of CCT could significantly reduce the risk of distant metastases. As all patients were diagnosed with ESCC in the CCT-relevant studies, whether the conclusion of CCT was also applicable to patients with EAC requires further verification.</w:t>
      </w:r>
    </w:p>
    <w:p w14:paraId="1A2B3DFE" w14:textId="77777777" w:rsidR="00A1B2C3" w:rsidRDefault="00A1B2C3">
      <w:pPr>
        <w:pStyle w:val="Heading2"/>
      </w:pPr>
      <w:r w:rsidRPr="00C4D5E6">
        <w:rPr>
          <w:rFonts w:ascii="Times New Roman" w:hAnsi="Times New Roman" w:eastAsia="宋体"/>
          <w:sz w:val="24"/>
          <w:szCs w:val="24"/>
        </w:rPr>
        <w:t xml:space="preserve">Publisher’s Note</w:t>
      </w:r>
    </w:p>
    <w:p w14:paraId="1A2B3DFF" w14:textId="77777777" w:rsidR="00A1B2C3" w:rsidRDefault="00A1B2C3">
      <w:pPr>
        <w:spacing w:line="480" w:lineRule="auto"/>
        <w:ind w:firstLine="480"/>
        <w:jc w:val="both"/>
      </w:pPr>
      <w:r w:rsidRPr="00C4D5E6">
        <w:rPr>
          <w:rFonts w:ascii="Times New Roman" w:hAnsi="Times New Roman" w:eastAsia="宋体"/>
          <w:sz w:val="24"/>
          <w:szCs w:val="24"/>
        </w:rPr>
        <w:t xml:space="preserve">All claims expressed in this article are solely those of the authors and do not necessarily represent those of their affiliated organizations, or those of the publisher, the editors and the reviewers. Any product that may be evaluated in this article, or claim that may be made by its manufacturer, is not guaranteed or endorsed by the publisher.</w:t>
      </w:r>
    </w:p>
    <w:p w14:paraId="1A2B3E00" w14:textId="77777777" w:rsidR="00A1B2C3" w:rsidRDefault="00A1B2C3">
      <w:pPr>
        <w:pStyle w:val="Heading2"/>
      </w:pPr>
      <w:r w:rsidRPr="00C4D5E6">
        <w:rPr>
          <w:rFonts w:ascii="Times New Roman" w:hAnsi="Times New Roman" w:eastAsia="宋体"/>
          <w:sz w:val="24"/>
          <w:szCs w:val="24"/>
        </w:rPr>
        <w:t xml:space="preserve">References</w:t>
      </w:r>
    </w:p>
    <w:p w14:paraId="1A2B3E01"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Cooper JS, Guo MD, Herskovic A, Macdonald JS, Martenson JA, Jr, Al-Sarraf M, et al. Chemoradiotherapy of Locally Advanced Esophageal Cancer: Long-Term Follow-Up of a Prospective Randomized Trial (RTOG 85-01). Radiation Therapy Oncology Group. JAMA (1999) 281:1623–7. doi: 10.1001/jama.281.17.1623</w:t>
      </w:r>
    </w:p>
    <w:p w14:paraId="1A2B3E02"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Pennathur A, Gibson MK, Jobe BA, Luketich JD. Oesophageal Carcinoma. Lancet (2013) 381:400–12. doi: 10.1016/S0140-6736(12)60643-6</w:t>
      </w:r>
    </w:p>
    <w:p w14:paraId="1A2B3E03"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Shioyama Y, Nakamura K, Ohga S, Nomoto S, Sasaki T, Yamaguchi T, et al. Radiation Therapy for Recurrent Esophageal Cancer After Surgery: Clinical Results and Prognostic Factors. Jpn J Clin Oncol (2007) 37:918–23. doi: 10.1093/jjco/hym138</w:t>
      </w:r>
    </w:p>
    <w:p w14:paraId="1A2B3E04"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Hui EP, Ma BB, Leung SF, King AD, Mo F, Kam MK, et al. Randomized Phase II Trial of Concurrent Cisplatin-Radiotherapy With or Without Neoadjuvant Docetaxel and Cisplatin in Advanced Nasopharyngeal Carcinoma. J Clin Oncol (2009) 27:242–9. doi: 10.1200/JCO.2008.18.1545</w:t>
      </w:r>
    </w:p>
    <w:p w14:paraId="1A2B3E05"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Byfield JE, Barone R, Mendelsohn J, Frankel S, Quinol L, Sharp T, et al. Infusional 5-Fluorouracil and X-Ray Therapy for Non-Resectable Esophageal Cancer. Cancer (1980) 45:703–8. doi: 10.1002/1097-0142(19800215)45:4&lt;703::aid-cncr2820450415&gt;3.0.co;2-q</w:t>
      </w:r>
    </w:p>
    <w:p w14:paraId="1A2B3E06"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Chen MQ, Lin QL, Chen YG, Guo JH, Xu BH, Tian Y. Neoadjuvant Chemotherapy May Not Benefit Esophageal Squamous Cell Carcinoma Patients Treated With Definitive Chemoradiotherapy. J Chin Med Assoc (2017) 80:636–43. doi: 10.1016/j.jcma.2017.06.014</w:t>
      </w:r>
    </w:p>
    <w:p w14:paraId="1A2B3E07"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Grossi F, Aita M, Follador A, Defferrari C, Brianti A, Sinaccio G, et al. Sequential, Alternating, and Maintenance/Consolidation Chemotherapy in Advanced Non-Small Cell Lung Cancer: A Review of the Literature. Oncologist (2007) 12:451–64. doi: 10.1634/theoncologist.12-4-451</w:t>
      </w:r>
    </w:p>
    <w:p w14:paraId="1A2B3E08"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Ahn JS, Ahn YC, Kim JH, Lee CG, Cho EK, Lee KC, et al. Multinational Randomized Phase III Trial With or Without Consolidation Chemotherapy Using Docetaxel and Cisplatin After Concurrent Chemoradiation in Inoperable Stage III Non-Small-Cell Lung Cancer: KCSG-LU05-04. J Clin Oncol (2015) 33:2660–6. doi: 10.1200/JCO.2014.60.0130</w:t>
      </w:r>
    </w:p>
    <w:p w14:paraId="1A2B3E09"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Skrzypski M, Jassem J. Consolidation Systemic Treatment After Radiochemotherapy for Unresectable Stage III Non-Small Cell Lung Cancer. Cancer Treat Rev (2018) 66:114–21. doi: 10.1016/j.ctrv.2018.04.001</w:t>
      </w:r>
    </w:p>
    <w:p w14:paraId="1A2B3E0A"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Tsujino K, Kurata T, Yamamoto S, Kawaguchi T, Kubo A, Isa S, et al. Is Consolidation Chemotherapy After Concurrent Chemo-Radiotherapy Beneficial for Patients With Locally Advanced Non-Small-Cell Lung Cancer? A Pooled Analysis of the Literature. J Thorac Oncol (2013) 8:1181–9. doi: 10.1097/JTO.0b013e3182988348</w:t>
      </w:r>
    </w:p>
    <w:p w14:paraId="1A2B3E0B"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Moher D, Liberati A, Tetzlaff J, Altman DG, PRISMA Group . Preferred Reporting Items for Systematic Reviews and Meta-Analyses: The PRISMA Statement. PloS Med (2009) 6:e1000097. doi: 10.1371/journal.pmed.1000097</w:t>
      </w:r>
    </w:p>
    <w:p w14:paraId="1A2B3E0C"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Luo LL, Xi M, Yang YD, Li QQ, Zhao L, Zhang P, et al. Comparative Outcomes of Induction Chemotherapy Followed by Definitive Chemoradiotherapy Versus Chemoradiotherapy in Esophageal Squamous Cell Carcinoma. J Cancer. (2017) 8:3441–7. doi: 10.7150/jca.21131</w:t>
      </w:r>
    </w:p>
    <w:p w14:paraId="1A2B3E0D"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Xi M, Liao Z, Deng W, Komaki R, Ho L, Lin SH. Recursive Partitioning Analysis Identifies Pretreatment Risk Groups for the Utility of Induction Chemotherapy Before Definitive Chemoradiation Therapy in Esophageal Cancer. Int J Radiat Oncol Biol Phys (2017) 99:407–16. doi: 10.1016/j.ijrobp.2017.05.050</w:t>
      </w:r>
    </w:p>
    <w:p w14:paraId="1A2B3E0E"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Liu S, Luo L, Zhao L, Zhu Y, Liu H, Li Q, et al. Induction Chemotherapy Followed by Definitive Chemoradiotherapy Versus Chemoradiotherapy Alone in Esophageal Squamous Cell Carcinoma: A Randomized Phase II Trial. Nat Commun (2021) 12(1):4014. doi: 10.1038/s41467-021-24288-1</w:t>
      </w:r>
    </w:p>
    <w:p w14:paraId="1A2B3E0F"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Wu SX, Li XY, Xu HY, Xu QN, Luo HS, Du ZS, et al. Effect of Consolidation Chemotherapy Following Definitive Chemoradiotherapy in Patients With Esophageal Squamous Cell Cancer. Sci Rep (2017) 7:16870. doi: 10.1038/s41598-017-17254-9</w:t>
      </w:r>
    </w:p>
    <w:p w14:paraId="1A2B3E10"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Chen Y, Guo L, Cheng X, Wang J, Zhang Y, Wang Y, et al. With or Without Consolidation Chemotherapy Using Cisplatin/5-FU After Concurrent Chemoradiotherapy in Stage II-III Squamous Cell Carcinoma of the Esophagus: A Propensity Score-Matched Analysis. Radiother Oncol (2018) 129:154–60. doi: 10.1016/j.radonc.2017.10.031</w:t>
      </w:r>
    </w:p>
    <w:p w14:paraId="1A2B3E11"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Chen M, Shen M, Lin Y, Liu P, Liu X, Li X, et al. Adjuvant Chemotherapy Does Not Benefit Patients With Esophageal Squamous Cell Carcinoma Treated With Definitive Chemoradiotherapy. Radiat Oncol (2018) 13:150. doi: 10.1186/s13014-018-1086-y</w:t>
      </w:r>
    </w:p>
    <w:p w14:paraId="1A2B3E12"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Chen H, Zhou L, Yang Y, Yang L, Chen L. Clinical Effect of Radiotherapy Combined With Chemotherapy for Non-Surgical Treatment of the Esophageal Squamous Cell Carcinoma. Med Sci Monit (2018) 24:4183–91. doi: 10.12659/MSM.910326</w:t>
      </w:r>
    </w:p>
    <w:p w14:paraId="1A2B3E13"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Koh HK, Park Y, Koo T, Park HJ, Lee MY, Chang AR, et al. Adjuvant Chemotherapy and Dose Escalation in Definitive Concurrent Chemoradiotherapy for Esophageal Squamous Cell Carcinoma. Anticancer Res (2020) 40:1771–8. doi: 10.21873/anticanres.14131</w:t>
      </w:r>
    </w:p>
    <w:p w14:paraId="1A2B3E14"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Zhang AD, Su XH, Shi GF, Han C, Wang L, Liu H, et al. Survival Comparision of Three-Dimensional Radiotherapy Alone vs. Chemoradiotherapy for Esophageal Squamous Cell Carcinoma. Arch Med Res (2020) 51(5):419–28. doi: 10.1016/j.arcmed.2020.04.013</w:t>
      </w:r>
    </w:p>
    <w:p w14:paraId="1A2B3E15"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Lu SL, Hsu FM, Tsai CL, Lee JM, Huang PM, Hsu CH, et al. Improved Prognosis With Induction Chemotherapy in Pathological Complete Responders After Trimodality Treatment for Esophageal Squamous Cell Carcinoma: Hypothesis Generating for Adjuvant Treatment. Eur J Surg Oncol (2019) 45:1498–504. doi: 10.1016/j.ejso.2019.03.020</w:t>
      </w:r>
    </w:p>
    <w:p w14:paraId="1A2B3E16"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Yoon HH, Ou FS, Soori GS, Shi Q, Wigle DA, Sticca RP, et al. Induction Versus No Induction Chemotherapy Before Neoadjuvant Chemoradiotherapy and Surgery in Oesophageal Adenocarcinoma: A Multicentrerandomised Phase II Trial (NCCTG N0849 [Alliance]). Eur J Cancer (2021) 150:214–23. doi: 10.1016/j.ejca.2021.03.025</w:t>
      </w:r>
    </w:p>
    <w:p w14:paraId="1A2B3E17"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Greally M, Chou JF, Molena D, Rusch VW, Bains MS, Park BJ, et al. Positron-Emission Tomography Scan-Directed Chemoradiation for Esophageal Squamous Cell Carcinoma: No Benefit for a Change in Chemotherapy in Positron-Emission Tomography Nonresponders. J Thorac Oncol (2019) 14(3):540–6. doi: 10.1016/j.jtho.2018.10.152</w:t>
      </w:r>
    </w:p>
    <w:p w14:paraId="1A2B3E18"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Kim DE, Kim UJ, Choi WY, Kim MY, Kim SH, Kim MJ, et al. Clinical Prognostic Factors for Locally Advanced Esophageal Squamous Carcinoma Treated After Definitive Chemoradiotherapy. Cancer Res Treat (2013) 45:276–84. doi: 10.4143/crt.2013.45.4.276</w:t>
      </w:r>
    </w:p>
    <w:p w14:paraId="1A2B3E19"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Bando H, Kotani D, Tsushima T, Hara H, Kadowaki S, Kato K. TENERGY: Multicenter Phase II Study of Atezolizumab Monotherapy Following Definitive Chemoradiotherapy With 5-FU Plus Cisplatin in Patients With Unresectable Locally Advanced Esophageal Squamous Cell Carcinoma. BMC Cancer (2020) 20:336. doi: 10.1186/s12885-020-06716-5</w:t>
      </w:r>
    </w:p>
    <w:p w14:paraId="1A2B3E1A"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Conroy T, Galais MP, Raoul JL, Bouché O, Gourgou-Bourgade S, Douillard JY, et al. Definitive Chemoradiotherapy With FOLFOX Versus Fluorouracil and Cisplatin in Patients With Oesophageal Cancer (PRODIGE5/ACCORD17): Final Results of a Randomised, Phase 2/3 Trial. Lancet Oncol (2014) 15(3):305–14. doi: 10.1016/S1470-2045(14)70028-2</w:t>
      </w:r>
    </w:p>
    <w:p w14:paraId="1A2B3E1B"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Chen Y, Ye J, Zhu Z, Zhao W, Zhou J, Wu C, et al. Comparing Paclitaxel Plus Fluorouracil Versus Cisplatin Plus Fluorouracil in Chemoradiotherapy for Locally Advanced Esophageal Squamous Cell Cancer: A Randomized, Multicenter, Phase III Clinical Trial. J Clin Oncol (2019) 37(20):1695–703. doi: 10.1200/JCO.18.02122</w:t>
      </w:r>
    </w:p>
    <w:p w14:paraId="1A2B3E1C"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Hulshof MCCM, Geijsen ED, Rozema T, Oppedijk V, Buijsen J, Neelis KJ, et al. Randomized Study on Dose Escalation in Definitive Chemoradiation for Patients With Locally Advanced Esophageal Cancer (ARTDECO Study). J Clin Oncol (2021) 39(25):2816–24. doi: 10.1200/JCO.20.03697</w:t>
      </w:r>
    </w:p>
    <w:p w14:paraId="1A2B3E1D"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Xu Y, Zhu W, Zhongxing L, Kong Y, Wang W, Li J, et al. A Multicenter Randomized Prospective Study of Concurrent Chemoradiation With 60 Gy Versus 50 Gy for Inoperable Esophageal Squamous Cell Carcinoma (in Chinese). Natl Med J China (2020) 100(23):1783–8. doi: 10.3760/cma.j.cn112137-20200303-00574</w:t>
      </w:r>
    </w:p>
    <w:sectPr>
      <w:pgSz w:w="11906" w:h="16838"/>
      <w:pgMar w:top="1440" w:right="1440" w:bottom="1440" w:left="1440" w:header="851" w:footer="992" w:gutter="0"/>
    </w:sectPr>
  </w:body>
</w:document>
</file>

<file path=word/comments.xml><?xml version="1.0" encoding="utf-8"?>
<w:comments xmlns:w="http://schemas.openxmlformats.org/wordprocessingml/2006/main">
  <w:comment w:id="0" w:author="Dong Qian" w:date="2026-10-19T08:00:00Z" w:initials="QD">
    <w:p>
      <w:r>
        <w:t xml:space="preserve">请补充具体的入组 / 检索标准细节</w:t>
      </w:r>
    </w:p>
  </w:comment>
  <w:comment w:id="1" w:author="Dong Qian" w:date="2026-10-19T08:00:00Z" w:initials="QD">
    <w:p>
      <w:r>
        <w:t xml:space="preserve">此处描述请与研究方案核对</w:t>
      </w:r>
    </w:p>
  </w:comment>
</w:comments>
</file>

<file path=word/numbering.xml><?xml version="1.0" encoding="utf-8"?>
<w:numbering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abstractNum w:abstractNumId="9001">
    <w:multiLevelType w:val="hybridMultilevel"/>
    <w:lvl w:ilvl="0">
      <w:start w:val="1"/>
      <w:numFmt w:val="bullet"/>
      <w:lvlText w:val="•"/>
      <w:lvlJc w:val="left"/>
      <w:pPr>
        <w:ind w:left="420" w:hanging="420"/>
      </w:pPr>
    </w:lvl>
    <w:lvl w:ilvl="1">
      <w:start w:val="1"/>
      <w:numFmt w:val="bullet"/>
      <w:lvlText w:val="◦"/>
      <w:lvlJc w:val="left"/>
      <w:pPr>
        <w:ind w:left="840" w:hanging="420"/>
      </w:pPr>
    </w:lvl>
    <w:lvl w:ilvl="2">
      <w:start w:val="1"/>
      <w:numFmt w:val="bullet"/>
      <w:lvlText w:val="▪"/>
      <w:lvlJc w:val="left"/>
      <w:pPr>
        <w:ind w:left="1260" w:hanging="420"/>
      </w:pPr>
    </w:lvl>
    <w:lvl w:ilvl="3">
      <w:start w:val="1"/>
      <w:numFmt w:val="bullet"/>
      <w:lvlText w:val="•"/>
      <w:lvlJc w:val="left"/>
      <w:pPr>
        <w:ind w:left="1680" w:hanging="420"/>
      </w:pPr>
    </w:lvl>
    <w:lvl w:ilvl="4">
      <w:start w:val="1"/>
      <w:numFmt w:val="bullet"/>
      <w:lvlText w:val="◦"/>
      <w:lvlJc w:val="left"/>
      <w:pPr>
        <w:ind w:left="2100" w:hanging="420"/>
      </w:pPr>
    </w:lvl>
    <w:lvl w:ilvl="5">
      <w:start w:val="1"/>
      <w:numFmt w:val="bullet"/>
      <w:lvlText w:val="▪"/>
      <w:lvlJc w:val="left"/>
      <w:pPr>
        <w:ind w:left="2520" w:hanging="420"/>
      </w:pPr>
    </w:lvl>
    <w:lvl w:ilvl="6">
      <w:start w:val="1"/>
      <w:numFmt w:val="bullet"/>
      <w:lvlText w:val="•"/>
      <w:lvlJc w:val="left"/>
      <w:pPr>
        <w:ind w:left="2940" w:hanging="420"/>
      </w:pPr>
    </w:lvl>
    <w:lvl w:ilvl="7">
      <w:start w:val="1"/>
      <w:numFmt w:val="bullet"/>
      <w:lvlText w:val="◦"/>
      <w:lvlJc w:val="left"/>
      <w:pPr>
        <w:ind w:left="3360" w:hanging="420"/>
      </w:pPr>
    </w:lvl>
    <w:lvl w:ilvl="8">
      <w:start w:val="1"/>
      <w:numFmt w:val="bullet"/>
      <w:lvlText w:val="▪"/>
      <w:lvlJc w:val="left"/>
      <w:pPr>
        <w:ind w:left="3780" w:hanging="420"/>
      </w:pPr>
    </w:lvl>
  </w:abstractNum>
  <w:abstractNum w:abstractNumId="9002">
    <w:multiLevelType w:val="hybridMultilevel"/>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lef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lef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left"/>
      <w:pPr>
        <w:ind w:left="3780" w:hanging="420"/>
      </w:pPr>
    </w:lvl>
  </w:abstractNum>
  <w:num w:numId="9001">
    <w:abstractNumId w:val="9002"/>
    <w:lvlOverride w:ilvl="0">
      <w:startOverride w:val="1"/>
    </w:lvlOverride>
  </w:num>
</w:numbering>
</file>

<file path=word/styles.xml><?xml version="1.0" encoding="utf-8"?>
<w:styles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docDefaults>
    <w:rPrDefault>
      <w:rPr>
        <w:rFonts w:ascii="Times New Roman" w:hAnsi="Times New Roman" w:eastAsia="宋体" w:cs="Times New Roman"/>
        <w:sz w:val="24"/>
        <w:lang w:val="en-US" w:eastAsia="zh-CN"/>
      </w:rPr>
    </w:rPrDefault>
    <w:pPrDefault>
      <w:pPr>
        <w:spacing w:after="120" w:line="360"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6"/>
    </w:rPr>
  </w:style>
  <w:style w:type="paragraph" w:styleId="Heading2">
    <w:name w:val="heading 2"/>
    <w:basedOn w:val="Normal"/>
    <w:next w:val="Normal"/>
    <w:qFormat/>
    <w:pPr>
      <w:keepNext/>
      <w:spacing w:before="240" w:after="120"/>
      <w:outlineLvl w:val="1"/>
    </w:pPr>
    <w:rPr>
      <w:b/>
      <w:sz w:val="32"/>
    </w:rPr>
  </w:style>
  <w:style w:type="paragraph" w:styleId="Heading3">
    <w:name w:val="heading 3"/>
    <w:basedOn w:val="Normal"/>
    <w:next w:val="Normal"/>
    <w:qFormat/>
    <w:pPr>
      <w:keepNext/>
      <w:spacing w:before="240" w:after="120"/>
      <w:outlineLvl w:val="2"/>
    </w:pPr>
    <w:rPr>
      <w:b/>
      <w:sz w:val="28"/>
    </w:rPr>
  </w:style>
  <w:style w:type="paragraph" w:styleId="Heading4">
    <w:name w:val="heading 4"/>
    <w:basedOn w:val="Normal"/>
    <w:next w:val="Normal"/>
    <w:qFormat/>
    <w:pPr>
      <w:keepNext/>
      <w:spacing w:before="240" w:after="120"/>
      <w:outlineLvl w:val="3"/>
    </w:pPr>
    <w:rPr>
      <w:b/>
      <w:sz w:val="26"/>
    </w:rPr>
  </w:style>
  <w:style w:type="paragraph" w:styleId="Heading5">
    <w:name w:val="heading 5"/>
    <w:basedOn w:val="Normal"/>
    <w:next w:val="Normal"/>
    <w:qFormat/>
    <w:pPr>
      <w:keepNext/>
      <w:spacing w:before="240" w:after="120"/>
      <w:outlineLvl w:val="4"/>
    </w:pPr>
    <w:rPr>
      <w:b/>
      <w:sz w:val="24"/>
    </w:rPr>
  </w:style>
  <w:style w:type="paragraph" w:styleId="Heading6">
    <w:name w:val="heading 6"/>
    <w:basedOn w:val="Normal"/>
    <w:next w:val="Normal"/>
    <w:qFormat/>
    <w:pPr>
      <w:keepNext/>
      <w:spacing w:before="240" w:after="120"/>
      <w:outlineLvl w:val="5"/>
    </w:pPr>
    <w:rPr>
      <w:b/>
      <w:sz w:val="24"/>
    </w:rPr>
  </w:style>
  <w:style w:type="paragraph" w:styleId="Title">
    <w:name w:val="Title"/>
    <w:basedOn w:val="Normal"/>
    <w:pPr>
      <w:jc w:val="center"/>
    </w:pPr>
    <w:rPr>
      <w:b/>
      <w:sz w:val="40"/>
    </w:rPr>
  </w:style>
  <w:style w:type="paragraph" w:styleId="ListParagraph">
    <w:name w:val="List Paragraph"/>
    <w:basedOn w:val="Normal"/>
    <w:pPr>
      <w:ind w:left="720"/>
    </w:pPr>
  </w:style>
  <w:style w:type="paragraph" w:styleId="Quote">
    <w:name w:val="Quote"/>
    <w:basedOn w:val="Normal"/>
    <w:pPr>
      <w:ind w:left="720"/>
    </w:pPr>
    <w:rPr>
      <w:i/>
    </w:rPr>
  </w:style>
  <w:style w:type="paragraph" w:styleId="Caption">
    <w:name w:val="caption"/>
    <w:basedOn w:val="Normal"/>
    <w:pPr>
      <w:jc w:val="center"/>
    </w:pPr>
    <w:rPr>
      <w:sz w:val="20"/>
    </w:rPr>
  </w:style>
  <w:style w:type="character" w:styleId="Hyperlink">
    <w:name w:val="Hyperlink"/>
    <w:rPr>
      <w:color w:val="0563C1"/>
      <w:u w:val="single"/>
    </w:rPr>
  </w:style>
  <w:style w:type="character" w:styleId="CommentReference">
    <w:name w:val="annotation reference"/>
    <w:rPr>
      <w:sz w:val="16"/>
    </w:r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1001" Type="http://schemas.openxmlformats.org/officeDocument/2006/relationships/numbering" Target="numbering.xml"/><Relationship Id="rIdComments1" Type="http://schemas.openxmlformats.org/officeDocument/2006/relationships/comments" Target="comments.xml"/></Relationships>
</file>