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Pr>
          <w:rFonts w:ascii="Times New Roman" w:hAnsi="Times New Roman" w:eastAsia="宋体"/>
          <w:sz w:val="24"/>
          <w:szCs w:val="24"/>
        </w:rPr>
        <w:t xml:space="preserve">This multicenter, open-label, phase III randomized clinical trial used a parallel-group, superiority design. Patients were randomized to S-1–based SIB-RT with concurrent and consolidated chemotherapy (CRTCT group) or SIB-RT alone (RT group) at an initial 1:1 allocation ratio, which was later modified as described in the Sample Size and Randomization section. </w:t>
      </w:r>
      <w:commentRangeStart w:id="0"/>
      <w:r>
        <w:rPr>
          <w:rFonts w:ascii="Times New Roman" w:hAnsi="Times New Roman" w:eastAsia="宋体"/>
          <w:sz w:val="24"/>
          <w:szCs w:val="24"/>
        </w:rPr>
        <w:t xml:space="preserve">Screening and enrollment took place between March 2017 and April 2020 at the 10 participating centers in China. Patients were screened according to the prespecified eligibility criteria (age 70 years or older, histopathologically confirmed ESCC, and clinical stage II to IV disease; full criteria are described in the Patients section); 339 patients were screened and 330 were randomized.</w:t>
      </w:r>
      <w:commentRangeEnd w:id="0"/>
      <w:r>
        <w:rPr>
          <w:rStyle w:val="CommentReference"/>
        </w:rPr>
        <w:commentReference w:id="0"/>
      </w:r>
      <w:r>
        <w:rPr>
          <w:rFonts w:ascii="Times New Roman" w:hAnsi="Times New Roman" w:eastAsia="宋体"/>
          <w:sz w:val="24"/>
          <w:szCs w:val="24"/>
        </w:rPr>
        <w:t xml:space="preserve"> All randomized patients were followed up until the data cutoff for the primary analysis (March 22, 2022). The trial was registered at ClinicalTrials.gov (NCT02979691). The study was approved by the institutional review boards and independent ethics committees of the participating centers and was performed in accordance with the Declaration of Helsinki. Written informed consent was obtained from all participants before enrollment. This study followed the Consolidated Standards of Reporting Trials (CONSORT) reporting guideline for randomized studies. </w:t>
      </w:r>
      <w:commentRangeStart w:id="1"/>
      <w:r>
        <w:rPr>
          <w:rFonts w:ascii="Times New Roman" w:hAnsi="Times New Roman" w:eastAsia="宋体"/>
          <w:sz w:val="24"/>
          <w:szCs w:val="24"/>
        </w:rPr>
        <w:t xml:space="preserve">The trial protocol, including the statistical analysis plan, is available in Supplement 1.</w:t>
      </w:r>
      <w:commentRangeEnd w:id="1"/>
      <w:r>
        <w:rPr>
          <w:rStyle w:val="CommentReference"/>
        </w:rPr>
        <w:commentReference w:id="1"/>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sidRPr="00C4D5E6">
        <w:rPr>
          <w:rFonts w:ascii="Times New Roman" w:hAnsi="Times New Roman" w:eastAsia="宋体"/>
          <w:sz w:val="24"/>
          <w:szCs w:val="24"/>
        </w:rPr>
        <w:t xml:space="preserve">Between March 2017 and April 2020, 339 patients were screened in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(March 22, 2022), the median (IQR) follow-up time for the surviving patients in the ITT population was 42.9 (38.8-47.0) months in the CRTCT group and 44.4 (39.3-49.4) months in the RT group. The median (IQR) OS was 28.1 (19.7-36.6) months in the CRTCT group and 20.1 (13.8-26.5) months in the RT group. The OS rates in the CRTCT group and RT group were 72.2% vs 62.3% at 1 year, 55.7% vs 43.8% at 2 years, and 46.2% vs 33.9% at 3 years (hazard ratio [HR], 0.73; 95% CI, 0.56-0.96;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2A). The median (IQR) PFS was 19.5 (12.8-26.2) months in the CRTCT group and 11.1 (6.7-15.4) months in the RT group. The PFS rates in the CRTCT group and RT group were 60.8% vs 49.3% at 1 year, 45.4% vs 37.0% at 2 years, and 37.3% vs 27.9% at 3 years (HR, 0.76; 95% CI, 0.58-0.98;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Breslow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Tarone-Ware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2B). As for the causes of death in both groups, 163 patients (79.5%) died of ESCC, 26 patients (12.7%) died of comorbidities, 9 patients (4.4%) died of treatment-related complications, 4 patients (2.0%) died from unintentional injuries, 1 patient (0.5%) died of a secondary primary tumor, and 2 patients (1.0%) died of unknown causes (eTable 2 in Supplement 2).</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