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E001" w14:textId="77777777" w:rsidR="00A1B2C3" w:rsidRDefault="00A1B2C3">
            <w:r w:rsidRPr="00C4D5E6">
              <w:rPr>
                <w:rFonts w:ascii="Times New Roman" w:hAnsi="Times New Roman" w:eastAsia="宋体"/>
                <w:sz w:val="24"/>
                <w:szCs w:val="24"/>
              </w:rPr>
              <w:t xml:space="preserve">BMI, median (IQR)</w:t>
            </w:r>
          </w:p>
        </w:tc>
        <w:tc>
          <w:tcPr>
            <w:tcW w:w="2250" w:type="dxa"/>
          </w:tcPr>
          <w:p w14:paraId="1A2BE002" w14:textId="77777777" w:rsidR="00A1B2C3" w:rsidRDefault="00A1B2C3">
            <w:r w:rsidRPr="00C4D5E6">
              <w:rPr>
                <w:rFonts w:ascii="Times New Roman" w:hAnsi="Times New Roman" w:eastAsia="宋体"/>
                <w:sz w:val="24"/>
                <w:szCs w:val="24"/>
              </w:rPr>
              <w:t xml:space="preserve">NR</w:t>
            </w:r>
          </w:p>
        </w:tc>
        <w:tc>
          <w:tcPr>
            <w:tcW w:w="2250" w:type="dxa"/>
          </w:tcPr>
          <w:p w14:paraId="1A2BE003" w14:textId="77777777" w:rsidR="00A1B2C3" w:rsidRDefault="00A1B2C3">
            <w:r w:rsidRPr="00C4D5E6">
              <w:rPr>
                <w:rFonts w:ascii="Times New Roman" w:hAnsi="Times New Roman" w:eastAsia="宋体"/>
                <w:sz w:val="24"/>
                <w:szCs w:val="24"/>
              </w:rPr>
              <w:t xml:space="preserve">NR</w:t>
            </w:r>
          </w:p>
        </w:tc>
        <w:tc>
          <w:tcPr>
            <w:tcW w:w="2250" w:type="dxa"/>
          </w:tcPr>
          <w:p w14:paraId="1A2BE004" w14:textId="77777777" w:rsidR="00A1B2C3" w:rsidRDefault="00A1B2C3">
            <w:r w:rsidRPr="00C4D5E6">
              <w:rPr>
                <w:rFonts w:ascii="Times New Roman" w:hAnsi="Times New Roman" w:eastAsia="宋体"/>
                <w:sz w:val="24"/>
                <w:szCs w:val="24"/>
              </w:rPr>
              <w:t xml:space="preserve">NR</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 xml:space="preserve">The carboplatin plan showed excellent efficacy in the CROSS study. The pathological complete response rate of squamous cell carcinoma was as high as 49% after 5 cycles of carboplatin chemotherapy and radiotherapy with a total dose of 41.4 Gy at 1.8 Gy per fraction.[7] Since then, the carboplatin plan was widely accepted and recommended by NCCN guidelines as the standard chemotherapy regimen for concurrent chemoradiotherapy, including neoadjuvant and definitive therapy. However, in the absence of a prospective comparison, no difference in prognosis was observed between patients receiving paclitaxel plus carboplatin and cisplatin plus fluorouracil in definitive chemoradiotherapy.[10] Regarding safety, patients in the carboplatin group experienced mild adverse effects, with fewer hematological and gastrointestinal toxic effects than those in the cisplatin group, but still more severe toxic effects than those in the CROSS study, especially hematologic toxic effects (34.6% for over grade 3 neutropenia), which was potentially attributed to more chemotherapy cycles.[7]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